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8261" w14:textId="77777777" w:rsidR="00D85304" w:rsidRPr="004F6C4E" w:rsidRDefault="00D85304" w:rsidP="00D85304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kern w:val="28"/>
          <w:sz w:val="24"/>
          <w:szCs w:val="28"/>
        </w:rPr>
      </w:pPr>
      <w:r w:rsidRPr="004F6C4E">
        <w:rPr>
          <w:rFonts w:ascii="Times New Roman" w:hAnsi="Times New Roman"/>
          <w:b/>
          <w:kern w:val="28"/>
          <w:sz w:val="24"/>
          <w:szCs w:val="28"/>
        </w:rPr>
        <w:t>Додаток до пояснювальної записки</w:t>
      </w:r>
    </w:p>
    <w:p w14:paraId="0ECD8135" w14:textId="77777777" w:rsidR="00D85304" w:rsidRDefault="00D85304" w:rsidP="00D8530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kern w:val="28"/>
          <w:sz w:val="24"/>
          <w:szCs w:val="28"/>
        </w:rPr>
      </w:pPr>
    </w:p>
    <w:p w14:paraId="7CE28A0B" w14:textId="77777777" w:rsidR="00D85304" w:rsidRDefault="00D85304" w:rsidP="00D8530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kern w:val="28"/>
          <w:sz w:val="24"/>
          <w:szCs w:val="28"/>
        </w:rPr>
      </w:pPr>
      <w:r w:rsidRPr="00853B21">
        <w:rPr>
          <w:rFonts w:ascii="Times New Roman" w:hAnsi="Times New Roman"/>
          <w:kern w:val="28"/>
          <w:sz w:val="24"/>
          <w:szCs w:val="28"/>
        </w:rPr>
        <w:t xml:space="preserve">Інформація про вплив реалізації </w:t>
      </w:r>
      <w:proofErr w:type="spellStart"/>
      <w:r w:rsidRPr="00853B21">
        <w:rPr>
          <w:rFonts w:ascii="Times New Roman" w:hAnsi="Times New Roman"/>
          <w:kern w:val="28"/>
          <w:sz w:val="24"/>
          <w:szCs w:val="28"/>
        </w:rPr>
        <w:t>акта</w:t>
      </w:r>
      <w:proofErr w:type="spellEnd"/>
      <w:r w:rsidRPr="00853B21">
        <w:rPr>
          <w:rFonts w:ascii="Times New Roman" w:hAnsi="Times New Roman"/>
          <w:kern w:val="28"/>
          <w:sz w:val="24"/>
          <w:szCs w:val="28"/>
        </w:rPr>
        <w:t xml:space="preserve"> на інтереси заінтересованих сторін</w:t>
      </w:r>
    </w:p>
    <w:p w14:paraId="19D6C641" w14:textId="77777777" w:rsidR="00D85304" w:rsidRDefault="00D85304" w:rsidP="00D8530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kern w:val="28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5304" w14:paraId="6210B5F1" w14:textId="77777777" w:rsidTr="002376E8">
        <w:tc>
          <w:tcPr>
            <w:tcW w:w="3209" w:type="dxa"/>
          </w:tcPr>
          <w:p w14:paraId="5F8061A3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>Заінтересована сторона</w:t>
            </w:r>
          </w:p>
        </w:tc>
        <w:tc>
          <w:tcPr>
            <w:tcW w:w="3209" w:type="dxa"/>
          </w:tcPr>
          <w:p w14:paraId="5B2E82A1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 xml:space="preserve">Вплив реалізації </w:t>
            </w:r>
            <w:proofErr w:type="spellStart"/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>акта</w:t>
            </w:r>
            <w:proofErr w:type="spellEnd"/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 xml:space="preserve"> на заінтересовану сторону</w:t>
            </w:r>
          </w:p>
        </w:tc>
        <w:tc>
          <w:tcPr>
            <w:tcW w:w="3210" w:type="dxa"/>
          </w:tcPr>
          <w:p w14:paraId="22564138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 w:rsidRPr="00853B21">
              <w:rPr>
                <w:rFonts w:ascii="Times New Roman" w:hAnsi="Times New Roman"/>
                <w:kern w:val="28"/>
                <w:sz w:val="24"/>
                <w:szCs w:val="28"/>
              </w:rPr>
              <w:t>Пояснення очікуваного впливу</w:t>
            </w:r>
          </w:p>
        </w:tc>
      </w:tr>
      <w:tr w:rsidR="00D85304" w14:paraId="7F650AAD" w14:textId="77777777" w:rsidTr="002376E8">
        <w:tc>
          <w:tcPr>
            <w:tcW w:w="3209" w:type="dxa"/>
          </w:tcPr>
          <w:p w14:paraId="3620CC06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Суб’єкти господарювання, що вчинили порушення законодавства про захист економічної конкуренції у вигляді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узгоджених дій</w:t>
            </w:r>
          </w:p>
        </w:tc>
        <w:tc>
          <w:tcPr>
            <w:tcW w:w="3209" w:type="dxa"/>
          </w:tcPr>
          <w:p w14:paraId="233FC41E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>Вдосконалення та оптимізація</w:t>
            </w:r>
            <w:r w:rsidRPr="0049499F">
              <w:rPr>
                <w:rFonts w:ascii="Times New Roman" w:hAnsi="Times New Roman"/>
                <w:kern w:val="28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порядку застосування процедури звільнення від відповідальності, що забезпечує визначеність та прозорість її застосування. </w:t>
            </w:r>
          </w:p>
        </w:tc>
        <w:tc>
          <w:tcPr>
            <w:tcW w:w="3210" w:type="dxa"/>
          </w:tcPr>
          <w:p w14:paraId="605386BE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>Оновлений порядок застосування процедури звільнення від відповідальності забезпечує прозорі та чіткі умови та підстави для суб’єктів господарювання, на яких вони можуть отримати, як  звільнення від відповідальності повністю  за співробітництво з органами Комітету, так і часткове зменшення розміру штрафу.</w:t>
            </w:r>
          </w:p>
        </w:tc>
      </w:tr>
      <w:tr w:rsidR="00D85304" w14:paraId="59D78D5A" w14:textId="77777777" w:rsidTr="002376E8">
        <w:tc>
          <w:tcPr>
            <w:tcW w:w="3209" w:type="dxa"/>
          </w:tcPr>
          <w:p w14:paraId="62577F03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>Антимонопольний комітет України</w:t>
            </w:r>
          </w:p>
        </w:tc>
        <w:tc>
          <w:tcPr>
            <w:tcW w:w="3209" w:type="dxa"/>
          </w:tcPr>
          <w:p w14:paraId="51B09325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>Вдосконалення нормативно-правової бази, що регулює процедуру звільнення від відповідальності.</w:t>
            </w:r>
          </w:p>
        </w:tc>
        <w:tc>
          <w:tcPr>
            <w:tcW w:w="3210" w:type="dxa"/>
          </w:tcPr>
          <w:p w14:paraId="7E09D259" w14:textId="77777777" w:rsidR="00D85304" w:rsidRDefault="00D85304" w:rsidP="002376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4"/>
                <w:szCs w:val="28"/>
              </w:rPr>
            </w:pPr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Прийняття відповідного нормативно-правового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акта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посилює спроможність Комітету застосовувати процедуру звільнення від відповідальності, підвищити ефективність та результативність розслідувань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8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8"/>
              </w:rPr>
              <w:t xml:space="preserve"> узгоджених дій, а також зменшити витрати ресурсів для розслідування таких дій. </w:t>
            </w:r>
          </w:p>
        </w:tc>
      </w:tr>
    </w:tbl>
    <w:p w14:paraId="3D569AA0" w14:textId="77777777" w:rsidR="00D85304" w:rsidRPr="00763030" w:rsidRDefault="00D85304" w:rsidP="00D8530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8"/>
        </w:rPr>
      </w:pPr>
    </w:p>
    <w:p w14:paraId="5FB5988B" w14:textId="77777777" w:rsidR="00CB0A7E" w:rsidRDefault="00CB0A7E">
      <w:bookmarkStart w:id="0" w:name="_GoBack"/>
      <w:bookmarkEnd w:id="0"/>
    </w:p>
    <w:sectPr w:rsidR="00CB0A7E" w:rsidSect="006414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567" w:bottom="1843" w:left="567" w:header="567" w:footer="1417" w:gutter="113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737B" w14:textId="77777777" w:rsidR="007E3711" w:rsidRDefault="00D853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5B89" w14:textId="77777777" w:rsidR="007E3711" w:rsidRDefault="00D853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C054" w14:textId="77777777" w:rsidR="007E3711" w:rsidRDefault="00D8530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B94D" w14:textId="77777777" w:rsidR="007E3711" w:rsidRDefault="00D853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6F49" w14:textId="77777777" w:rsidR="00682CEC" w:rsidRDefault="00D853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8391B">
      <w:rPr>
        <w:noProof/>
        <w:lang w:val="uk-UA"/>
      </w:rPr>
      <w:t>2</w:t>
    </w:r>
    <w:r>
      <w:fldChar w:fldCharType="end"/>
    </w:r>
  </w:p>
  <w:p w14:paraId="6A5C1F28" w14:textId="77777777" w:rsidR="00682CEC" w:rsidRDefault="00D853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FA25" w14:textId="77777777" w:rsidR="007E3711" w:rsidRDefault="00D85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97"/>
    <w:rsid w:val="00A91597"/>
    <w:rsid w:val="00CB0A7E"/>
    <w:rsid w:val="00D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C158-916D-4EFA-8E4D-269B4BE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30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3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D85304"/>
    <w:rPr>
      <w:rFonts w:cs="Times New Roman"/>
      <w:lang w:val="x-none"/>
    </w:rPr>
  </w:style>
  <w:style w:type="paragraph" w:styleId="a6">
    <w:name w:val="footer"/>
    <w:basedOn w:val="a"/>
    <w:link w:val="a5"/>
    <w:uiPriority w:val="99"/>
    <w:rsid w:val="00D85304"/>
    <w:pPr>
      <w:tabs>
        <w:tab w:val="center" w:pos="4819"/>
        <w:tab w:val="right" w:pos="9639"/>
      </w:tabs>
    </w:pPr>
    <w:rPr>
      <w:rFonts w:asciiTheme="minorHAnsi" w:eastAsiaTheme="minorHAnsi" w:hAnsiTheme="minorHAnsi"/>
      <w:lang w:val="x-none"/>
    </w:rPr>
  </w:style>
  <w:style w:type="character" w:customStyle="1" w:styleId="1">
    <w:name w:val="Нижний колонтитул Знак1"/>
    <w:basedOn w:val="a0"/>
    <w:uiPriority w:val="99"/>
    <w:semiHidden/>
    <w:rsid w:val="00D85304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D853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Тетяна В`ячеславівна</dc:creator>
  <cp:keywords/>
  <dc:description/>
  <cp:lastModifiedBy>Шелест Тетяна В`ячеславівна</cp:lastModifiedBy>
  <cp:revision>2</cp:revision>
  <dcterms:created xsi:type="dcterms:W3CDTF">2023-10-03T09:45:00Z</dcterms:created>
  <dcterms:modified xsi:type="dcterms:W3CDTF">2023-10-03T09:46:00Z</dcterms:modified>
</cp:coreProperties>
</file>