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8E42" w14:textId="77777777" w:rsidR="00F16CB7" w:rsidRPr="00763030" w:rsidRDefault="00F16CB7" w:rsidP="000C0B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ПОЯСНЮВАЛЬНА ЗАПИСКА</w:t>
      </w:r>
    </w:p>
    <w:p w14:paraId="1CB648BB" w14:textId="3579A270" w:rsidR="00F16CB7" w:rsidRPr="00763030" w:rsidRDefault="007B4112" w:rsidP="000C0B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до </w:t>
      </w:r>
      <w:proofErr w:type="spellStart"/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проєкту</w:t>
      </w:r>
      <w:proofErr w:type="spellEnd"/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 </w:t>
      </w:r>
      <w:r w:rsidR="00EF298D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розпорядження Антимонопольного комітет України</w:t>
      </w:r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 </w:t>
      </w:r>
      <w:r w:rsidR="00F16CB7"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"</w:t>
      </w:r>
      <w:r w:rsidR="00EF298D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Про </w:t>
      </w:r>
      <w:r w:rsidR="00023484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затвердження Порядку</w:t>
      </w:r>
      <w:r w:rsidR="00EF298D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 </w:t>
      </w:r>
      <w:r w:rsidR="00952D78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врегулювання у справах про </w:t>
      </w:r>
      <w:proofErr w:type="spellStart"/>
      <w:r w:rsidR="00952D78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антиконкурентні</w:t>
      </w:r>
      <w:proofErr w:type="spellEnd"/>
      <w:r w:rsidR="00952D78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 узгоджені дії та зловживання монопольним (домінуючим) становищем на ринку</w:t>
      </w:r>
      <w:r w:rsidR="00F16CB7" w:rsidRPr="00763030">
        <w:rPr>
          <w:rFonts w:ascii="Times New Roman" w:hAnsi="Times New Roman"/>
          <w:b/>
          <w:kern w:val="28"/>
          <w:sz w:val="24"/>
          <w:szCs w:val="28"/>
          <w:lang w:eastAsia="ru-RU"/>
        </w:rPr>
        <w:t>"</w:t>
      </w:r>
    </w:p>
    <w:p w14:paraId="1810DDBE" w14:textId="77777777" w:rsidR="00F16CB7" w:rsidRPr="00763030" w:rsidRDefault="00F16CB7" w:rsidP="000C0B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</w:p>
    <w:p w14:paraId="5A177127" w14:textId="77777777" w:rsidR="00F16CB7" w:rsidRPr="00763030" w:rsidRDefault="00F16CB7" w:rsidP="000C0B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Мета  </w:t>
      </w:r>
    </w:p>
    <w:p w14:paraId="505CC8AC" w14:textId="094A3735" w:rsidR="00F16CB7" w:rsidRDefault="00F16CB7" w:rsidP="001D6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  <w:lang w:eastAsia="ru-RU"/>
        </w:rPr>
      </w:pPr>
      <w:r w:rsidRPr="00763030">
        <w:rPr>
          <w:rFonts w:ascii="Times New Roman" w:hAnsi="Times New Roman"/>
          <w:kern w:val="28"/>
          <w:sz w:val="24"/>
          <w:szCs w:val="28"/>
          <w:lang w:eastAsia="ru-RU"/>
        </w:rPr>
        <w:t xml:space="preserve">Метою </w:t>
      </w:r>
      <w:proofErr w:type="spellStart"/>
      <w:r w:rsidRPr="00763030">
        <w:rPr>
          <w:rFonts w:ascii="Times New Roman" w:hAnsi="Times New Roman"/>
          <w:kern w:val="28"/>
          <w:sz w:val="24"/>
          <w:szCs w:val="28"/>
          <w:lang w:eastAsia="ru-RU"/>
        </w:rPr>
        <w:t>про</w:t>
      </w:r>
      <w:r w:rsidR="007B4112" w:rsidRPr="00763030">
        <w:rPr>
          <w:rFonts w:ascii="Times New Roman" w:hAnsi="Times New Roman"/>
          <w:kern w:val="28"/>
          <w:sz w:val="24"/>
          <w:szCs w:val="28"/>
          <w:lang w:eastAsia="ru-RU"/>
        </w:rPr>
        <w:t>є</w:t>
      </w:r>
      <w:r w:rsidRPr="00763030">
        <w:rPr>
          <w:rFonts w:ascii="Times New Roman" w:hAnsi="Times New Roman"/>
          <w:kern w:val="28"/>
          <w:sz w:val="24"/>
          <w:szCs w:val="28"/>
          <w:lang w:eastAsia="ru-RU"/>
        </w:rPr>
        <w:t>кту</w:t>
      </w:r>
      <w:proofErr w:type="spellEnd"/>
      <w:r w:rsidRPr="00763030">
        <w:rPr>
          <w:rFonts w:ascii="Times New Roman" w:hAnsi="Times New Roman"/>
          <w:kern w:val="28"/>
          <w:sz w:val="24"/>
          <w:szCs w:val="28"/>
          <w:lang w:eastAsia="ru-RU"/>
        </w:rPr>
        <w:t xml:space="preserve"> </w:t>
      </w:r>
      <w:proofErr w:type="spellStart"/>
      <w:r w:rsidRPr="00763030">
        <w:rPr>
          <w:rFonts w:ascii="Times New Roman" w:hAnsi="Times New Roman"/>
          <w:kern w:val="28"/>
          <w:sz w:val="24"/>
          <w:szCs w:val="28"/>
          <w:lang w:eastAsia="ru-RU"/>
        </w:rPr>
        <w:t>акта</w:t>
      </w:r>
      <w:proofErr w:type="spellEnd"/>
      <w:r w:rsidRPr="00763030">
        <w:rPr>
          <w:rFonts w:ascii="Times New Roman" w:hAnsi="Times New Roman"/>
          <w:kern w:val="28"/>
          <w:sz w:val="24"/>
          <w:szCs w:val="28"/>
          <w:lang w:eastAsia="ru-RU"/>
        </w:rPr>
        <w:t xml:space="preserve"> є </w:t>
      </w:r>
      <w:r w:rsidR="00952D78">
        <w:rPr>
          <w:rFonts w:ascii="Times New Roman" w:hAnsi="Times New Roman"/>
          <w:kern w:val="28"/>
          <w:sz w:val="24"/>
          <w:szCs w:val="28"/>
          <w:lang w:eastAsia="ru-RU"/>
        </w:rPr>
        <w:t>впровадження</w:t>
      </w:r>
      <w:r w:rsidR="00631498">
        <w:rPr>
          <w:rFonts w:ascii="Times New Roman" w:hAnsi="Times New Roman"/>
          <w:kern w:val="28"/>
          <w:sz w:val="24"/>
          <w:szCs w:val="28"/>
          <w:lang w:eastAsia="ru-RU"/>
        </w:rPr>
        <w:t xml:space="preserve"> порядку застосування</w:t>
      </w:r>
      <w:r w:rsidR="00EF298D">
        <w:rPr>
          <w:rFonts w:ascii="Times New Roman" w:hAnsi="Times New Roman"/>
          <w:kern w:val="28"/>
          <w:sz w:val="24"/>
          <w:szCs w:val="28"/>
          <w:lang w:eastAsia="ru-RU"/>
        </w:rPr>
        <w:t xml:space="preserve"> процедури </w:t>
      </w:r>
      <w:r w:rsidR="00952D78">
        <w:rPr>
          <w:rFonts w:ascii="Times New Roman" w:hAnsi="Times New Roman"/>
          <w:kern w:val="28"/>
          <w:sz w:val="24"/>
          <w:szCs w:val="28"/>
          <w:lang w:eastAsia="ru-RU"/>
        </w:rPr>
        <w:t>врегулювання у справах</w:t>
      </w:r>
      <w:r w:rsidR="00EF298D">
        <w:rPr>
          <w:rFonts w:ascii="Times New Roman" w:hAnsi="Times New Roman"/>
          <w:kern w:val="28"/>
          <w:sz w:val="24"/>
          <w:szCs w:val="28"/>
          <w:lang w:eastAsia="ru-RU"/>
        </w:rPr>
        <w:t>,</w:t>
      </w:r>
      <w:r w:rsidR="00952D78">
        <w:rPr>
          <w:rFonts w:ascii="Times New Roman" w:hAnsi="Times New Roman"/>
          <w:kern w:val="28"/>
          <w:sz w:val="24"/>
          <w:szCs w:val="28"/>
          <w:lang w:eastAsia="ru-RU"/>
        </w:rPr>
        <w:t xml:space="preserve"> яка</w:t>
      </w:r>
      <w:r w:rsidR="00EF298D">
        <w:rPr>
          <w:rFonts w:ascii="Times New Roman" w:hAnsi="Times New Roman"/>
          <w:kern w:val="28"/>
          <w:sz w:val="24"/>
          <w:szCs w:val="28"/>
          <w:lang w:eastAsia="ru-RU"/>
        </w:rPr>
        <w:t xml:space="preserve"> підвищ</w:t>
      </w:r>
      <w:r w:rsidR="00952D78">
        <w:rPr>
          <w:rFonts w:ascii="Times New Roman" w:hAnsi="Times New Roman"/>
          <w:kern w:val="28"/>
          <w:sz w:val="24"/>
          <w:szCs w:val="28"/>
          <w:lang w:eastAsia="ru-RU"/>
        </w:rPr>
        <w:t>ить спроможність Антимонопольного комітету України</w:t>
      </w:r>
      <w:r w:rsidR="00DD356E">
        <w:rPr>
          <w:rFonts w:ascii="Times New Roman" w:hAnsi="Times New Roman"/>
          <w:kern w:val="28"/>
          <w:sz w:val="24"/>
          <w:szCs w:val="28"/>
          <w:lang w:eastAsia="ru-RU"/>
        </w:rPr>
        <w:t xml:space="preserve"> (далі – Комітет)</w:t>
      </w:r>
      <w:r w:rsidR="00952D78">
        <w:rPr>
          <w:rFonts w:ascii="Times New Roman" w:hAnsi="Times New Roman"/>
          <w:kern w:val="28"/>
          <w:sz w:val="24"/>
          <w:szCs w:val="28"/>
          <w:lang w:eastAsia="ru-RU"/>
        </w:rPr>
        <w:t xml:space="preserve"> розслідува</w:t>
      </w:r>
      <w:r w:rsidR="001D6947">
        <w:rPr>
          <w:rFonts w:ascii="Times New Roman" w:hAnsi="Times New Roman"/>
          <w:kern w:val="28"/>
          <w:sz w:val="24"/>
          <w:szCs w:val="28"/>
          <w:lang w:eastAsia="ru-RU"/>
        </w:rPr>
        <w:t>ти</w:t>
      </w:r>
      <w:r w:rsidR="00952D78">
        <w:rPr>
          <w:rFonts w:ascii="Times New Roman" w:hAnsi="Times New Roman"/>
          <w:kern w:val="28"/>
          <w:sz w:val="24"/>
          <w:szCs w:val="28"/>
          <w:lang w:eastAsia="ru-RU"/>
        </w:rPr>
        <w:t xml:space="preserve"> справ</w:t>
      </w:r>
      <w:r w:rsidR="001D6947">
        <w:rPr>
          <w:rFonts w:ascii="Times New Roman" w:hAnsi="Times New Roman"/>
          <w:kern w:val="28"/>
          <w:sz w:val="24"/>
          <w:szCs w:val="28"/>
          <w:lang w:eastAsia="ru-RU"/>
        </w:rPr>
        <w:t>и</w:t>
      </w:r>
      <w:r w:rsidR="00952D78">
        <w:rPr>
          <w:rFonts w:ascii="Times New Roman" w:hAnsi="Times New Roman"/>
          <w:kern w:val="28"/>
          <w:sz w:val="24"/>
          <w:szCs w:val="28"/>
          <w:lang w:eastAsia="ru-RU"/>
        </w:rPr>
        <w:t xml:space="preserve"> </w:t>
      </w:r>
      <w:r w:rsidR="00952D78" w:rsidRPr="00952D78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про </w:t>
      </w:r>
      <w:proofErr w:type="spellStart"/>
      <w:r w:rsidR="00952D78" w:rsidRPr="00952D78">
        <w:rPr>
          <w:rFonts w:ascii="Times New Roman" w:hAnsi="Times New Roman"/>
          <w:bCs/>
          <w:kern w:val="28"/>
          <w:sz w:val="24"/>
          <w:szCs w:val="28"/>
          <w:lang w:eastAsia="ru-RU"/>
        </w:rPr>
        <w:t>антиконкурентні</w:t>
      </w:r>
      <w:proofErr w:type="spellEnd"/>
      <w:r w:rsidR="00952D78" w:rsidRPr="00952D78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узгоджені дії суб’єктів господарювання та зловживання монопольним (домінуючим) становищем на ринку</w:t>
      </w:r>
      <w:r w:rsidR="00952D78">
        <w:rPr>
          <w:rFonts w:ascii="Times New Roman" w:hAnsi="Times New Roman"/>
          <w:kern w:val="28"/>
          <w:sz w:val="24"/>
          <w:szCs w:val="28"/>
          <w:lang w:eastAsia="ru-RU"/>
        </w:rPr>
        <w:t>, пришвидшить виявлення та зупинення порушен</w:t>
      </w:r>
      <w:r w:rsidR="001D6947">
        <w:rPr>
          <w:rFonts w:ascii="Times New Roman" w:hAnsi="Times New Roman"/>
          <w:kern w:val="28"/>
          <w:sz w:val="24"/>
          <w:szCs w:val="28"/>
          <w:lang w:eastAsia="ru-RU"/>
        </w:rPr>
        <w:t>ь</w:t>
      </w:r>
      <w:r w:rsidR="00952D78">
        <w:rPr>
          <w:rFonts w:ascii="Times New Roman" w:hAnsi="Times New Roman"/>
          <w:kern w:val="28"/>
          <w:sz w:val="24"/>
          <w:szCs w:val="28"/>
          <w:lang w:eastAsia="ru-RU"/>
        </w:rPr>
        <w:t>, а також зменшить витрати, необхідні для розслідування таких справ.</w:t>
      </w:r>
      <w:r w:rsidR="00952D78" w:rsidRPr="00952D78">
        <w:rPr>
          <w:rFonts w:ascii="Times New Roman" w:hAnsi="Times New Roman"/>
          <w:kern w:val="28"/>
          <w:sz w:val="24"/>
          <w:szCs w:val="28"/>
          <w:lang w:eastAsia="ru-RU"/>
        </w:rPr>
        <w:t xml:space="preserve"> </w:t>
      </w:r>
      <w:r w:rsidR="00EF298D" w:rsidRPr="00952D78">
        <w:rPr>
          <w:rFonts w:ascii="Times New Roman" w:hAnsi="Times New Roman"/>
          <w:kern w:val="28"/>
          <w:sz w:val="24"/>
          <w:szCs w:val="28"/>
          <w:lang w:eastAsia="ru-RU"/>
        </w:rPr>
        <w:t xml:space="preserve"> </w:t>
      </w:r>
    </w:p>
    <w:p w14:paraId="7F349636" w14:textId="77777777" w:rsidR="00207DC9" w:rsidRPr="00763030" w:rsidRDefault="00207DC9" w:rsidP="001D6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  <w:lang w:eastAsia="ru-RU"/>
        </w:rPr>
      </w:pPr>
    </w:p>
    <w:p w14:paraId="128B50B8" w14:textId="77777777" w:rsidR="00F16CB7" w:rsidRPr="00763030" w:rsidRDefault="00F16CB7" w:rsidP="000C0B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Обґрунтування необхідності прийняття </w:t>
      </w:r>
      <w:proofErr w:type="spellStart"/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акта</w:t>
      </w:r>
      <w:proofErr w:type="spellEnd"/>
    </w:p>
    <w:p w14:paraId="2C2B9940" w14:textId="50E40253" w:rsidR="00631498" w:rsidRDefault="00631498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</w:rPr>
      </w:pPr>
      <w:r>
        <w:rPr>
          <w:rFonts w:ascii="Times New Roman" w:hAnsi="Times New Roman"/>
          <w:kern w:val="28"/>
          <w:sz w:val="24"/>
          <w:szCs w:val="28"/>
        </w:rPr>
        <w:t xml:space="preserve">Підставою для прийняття </w:t>
      </w:r>
      <w:proofErr w:type="spellStart"/>
      <w:r>
        <w:rPr>
          <w:rFonts w:ascii="Times New Roman" w:hAnsi="Times New Roman"/>
          <w:kern w:val="28"/>
          <w:sz w:val="24"/>
          <w:szCs w:val="28"/>
        </w:rPr>
        <w:t>акта</w:t>
      </w:r>
      <w:proofErr w:type="spellEnd"/>
      <w:r>
        <w:rPr>
          <w:rFonts w:ascii="Times New Roman" w:hAnsi="Times New Roman"/>
          <w:kern w:val="28"/>
          <w:sz w:val="24"/>
          <w:szCs w:val="28"/>
        </w:rPr>
        <w:t xml:space="preserve"> є Закон України від 09.08.2023 № </w:t>
      </w:r>
      <w:r w:rsidRPr="009166D8">
        <w:rPr>
          <w:rFonts w:ascii="Times New Roman" w:hAnsi="Times New Roman"/>
          <w:bCs/>
          <w:kern w:val="28"/>
          <w:sz w:val="24"/>
          <w:szCs w:val="28"/>
        </w:rPr>
        <w:t>3295-ІХ</w:t>
      </w:r>
      <w:r w:rsidR="000F49DF">
        <w:rPr>
          <w:rFonts w:ascii="Times New Roman" w:hAnsi="Times New Roman"/>
          <w:bCs/>
          <w:kern w:val="28"/>
          <w:sz w:val="24"/>
          <w:szCs w:val="28"/>
        </w:rPr>
        <w:t xml:space="preserve"> </w:t>
      </w:r>
      <w:r w:rsidR="000F49DF" w:rsidRPr="0095657D">
        <w:rPr>
          <w:rFonts w:ascii="Times New Roman" w:hAnsi="Times New Roman"/>
          <w:kern w:val="28"/>
          <w:sz w:val="24"/>
          <w:szCs w:val="28"/>
        </w:rPr>
        <w:t>«Про внесення змін до деяких законодавчих актів України щодо вдосконалення законодавства про захист економічної конкуренції та діяльності Антимонопольного комітету України» (далі – Закон).</w:t>
      </w:r>
    </w:p>
    <w:p w14:paraId="27674517" w14:textId="41323302" w:rsidR="00E93BE9" w:rsidRDefault="002E00CB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</w:rPr>
      </w:pPr>
      <w:r>
        <w:rPr>
          <w:rFonts w:ascii="Times New Roman" w:hAnsi="Times New Roman"/>
          <w:kern w:val="28"/>
          <w:sz w:val="24"/>
          <w:szCs w:val="28"/>
        </w:rPr>
        <w:t xml:space="preserve">Процедура </w:t>
      </w:r>
      <w:r w:rsidR="00BA3653">
        <w:rPr>
          <w:rFonts w:ascii="Times New Roman" w:hAnsi="Times New Roman"/>
          <w:kern w:val="28"/>
          <w:sz w:val="24"/>
          <w:szCs w:val="28"/>
        </w:rPr>
        <w:t>врегулювання у справах</w:t>
      </w:r>
      <w:r>
        <w:rPr>
          <w:rFonts w:ascii="Times New Roman" w:hAnsi="Times New Roman"/>
          <w:kern w:val="28"/>
          <w:sz w:val="24"/>
          <w:szCs w:val="28"/>
        </w:rPr>
        <w:t xml:space="preserve"> є одним з найбільш ефективних інструментів, </w:t>
      </w:r>
      <w:r w:rsidR="00E93BE9">
        <w:rPr>
          <w:rFonts w:ascii="Times New Roman" w:hAnsi="Times New Roman"/>
          <w:kern w:val="28"/>
          <w:sz w:val="24"/>
          <w:szCs w:val="28"/>
        </w:rPr>
        <w:t xml:space="preserve">що </w:t>
      </w:r>
      <w:r w:rsidR="00105635">
        <w:rPr>
          <w:rFonts w:ascii="Times New Roman" w:hAnsi="Times New Roman"/>
          <w:kern w:val="28"/>
          <w:sz w:val="24"/>
          <w:szCs w:val="28"/>
        </w:rPr>
        <w:t>сприяє</w:t>
      </w:r>
      <w:r w:rsidR="00E93BE9">
        <w:rPr>
          <w:rFonts w:ascii="Times New Roman" w:hAnsi="Times New Roman"/>
          <w:kern w:val="28"/>
          <w:sz w:val="24"/>
          <w:szCs w:val="28"/>
        </w:rPr>
        <w:t xml:space="preserve"> прискоренн</w:t>
      </w:r>
      <w:r w:rsidR="00105635">
        <w:rPr>
          <w:rFonts w:ascii="Times New Roman" w:hAnsi="Times New Roman"/>
          <w:kern w:val="28"/>
          <w:sz w:val="24"/>
          <w:szCs w:val="28"/>
        </w:rPr>
        <w:t>ю</w:t>
      </w:r>
      <w:r w:rsidR="00E93BE9">
        <w:rPr>
          <w:rFonts w:ascii="Times New Roman" w:hAnsi="Times New Roman"/>
          <w:kern w:val="28"/>
          <w:sz w:val="24"/>
          <w:szCs w:val="28"/>
        </w:rPr>
        <w:t xml:space="preserve"> розслідувань</w:t>
      </w:r>
      <w:r w:rsidR="00105635" w:rsidRPr="00105635">
        <w:t xml:space="preserve"> </w:t>
      </w:r>
      <w:r w:rsidR="00105635" w:rsidRPr="00105635">
        <w:rPr>
          <w:rFonts w:ascii="Times New Roman" w:hAnsi="Times New Roman"/>
          <w:kern w:val="28"/>
          <w:sz w:val="24"/>
          <w:szCs w:val="28"/>
        </w:rPr>
        <w:t>найсерйозн</w:t>
      </w:r>
      <w:r w:rsidR="008C05B7">
        <w:rPr>
          <w:rFonts w:ascii="Times New Roman" w:hAnsi="Times New Roman"/>
          <w:kern w:val="28"/>
          <w:sz w:val="24"/>
          <w:szCs w:val="28"/>
        </w:rPr>
        <w:t>іш</w:t>
      </w:r>
      <w:r w:rsidR="00105635" w:rsidRPr="00105635">
        <w:rPr>
          <w:rFonts w:ascii="Times New Roman" w:hAnsi="Times New Roman"/>
          <w:kern w:val="28"/>
          <w:sz w:val="24"/>
          <w:szCs w:val="28"/>
        </w:rPr>
        <w:t>их порушень конкурентного законодавства</w:t>
      </w:r>
      <w:r w:rsidR="00105635">
        <w:rPr>
          <w:rFonts w:ascii="Times New Roman" w:hAnsi="Times New Roman"/>
          <w:kern w:val="28"/>
          <w:sz w:val="24"/>
          <w:szCs w:val="28"/>
        </w:rPr>
        <w:t xml:space="preserve"> </w:t>
      </w:r>
      <w:r w:rsidR="00E93BE9">
        <w:rPr>
          <w:rFonts w:ascii="Times New Roman" w:hAnsi="Times New Roman"/>
          <w:kern w:val="28"/>
          <w:sz w:val="24"/>
          <w:szCs w:val="28"/>
        </w:rPr>
        <w:t>та економ</w:t>
      </w:r>
      <w:r w:rsidR="00105635">
        <w:rPr>
          <w:rFonts w:ascii="Times New Roman" w:hAnsi="Times New Roman"/>
          <w:kern w:val="28"/>
          <w:sz w:val="24"/>
          <w:szCs w:val="28"/>
        </w:rPr>
        <w:t>ить</w:t>
      </w:r>
      <w:r w:rsidR="00E93BE9">
        <w:rPr>
          <w:rFonts w:ascii="Times New Roman" w:hAnsi="Times New Roman"/>
          <w:kern w:val="28"/>
          <w:sz w:val="24"/>
          <w:szCs w:val="28"/>
        </w:rPr>
        <w:t xml:space="preserve"> ресурс</w:t>
      </w:r>
      <w:r w:rsidR="00105635">
        <w:rPr>
          <w:rFonts w:ascii="Times New Roman" w:hAnsi="Times New Roman"/>
          <w:kern w:val="28"/>
          <w:sz w:val="24"/>
          <w:szCs w:val="28"/>
        </w:rPr>
        <w:t>и конкурентних відомств</w:t>
      </w:r>
      <w:r w:rsidR="00E93BE9">
        <w:rPr>
          <w:rFonts w:ascii="Times New Roman" w:hAnsi="Times New Roman"/>
          <w:kern w:val="28"/>
          <w:sz w:val="24"/>
          <w:szCs w:val="28"/>
        </w:rPr>
        <w:t>, необхідн</w:t>
      </w:r>
      <w:r w:rsidR="001D6947">
        <w:rPr>
          <w:rFonts w:ascii="Times New Roman" w:hAnsi="Times New Roman"/>
          <w:kern w:val="28"/>
          <w:sz w:val="24"/>
          <w:szCs w:val="28"/>
        </w:rPr>
        <w:t>і</w:t>
      </w:r>
      <w:r w:rsidR="00E93BE9">
        <w:rPr>
          <w:rFonts w:ascii="Times New Roman" w:hAnsi="Times New Roman"/>
          <w:kern w:val="28"/>
          <w:sz w:val="24"/>
          <w:szCs w:val="28"/>
        </w:rPr>
        <w:t xml:space="preserve"> для проведення таких розслідувань. </w:t>
      </w:r>
    </w:p>
    <w:p w14:paraId="080F2297" w14:textId="2D0F02D6" w:rsidR="002E00CB" w:rsidRDefault="00105635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</w:rPr>
      </w:pPr>
      <w:r>
        <w:rPr>
          <w:rFonts w:ascii="Times New Roman" w:hAnsi="Times New Roman"/>
          <w:kern w:val="28"/>
          <w:sz w:val="24"/>
          <w:szCs w:val="28"/>
        </w:rPr>
        <w:t>Процедура</w:t>
      </w:r>
      <w:r w:rsidRPr="00105635">
        <w:rPr>
          <w:rFonts w:ascii="Times New Roman" w:hAnsi="Times New Roman"/>
          <w:kern w:val="28"/>
          <w:sz w:val="24"/>
          <w:szCs w:val="28"/>
        </w:rPr>
        <w:t xml:space="preserve"> врегулювання </w:t>
      </w:r>
      <w:r>
        <w:rPr>
          <w:rFonts w:ascii="Times New Roman" w:hAnsi="Times New Roman"/>
          <w:kern w:val="28"/>
          <w:sz w:val="24"/>
          <w:szCs w:val="28"/>
        </w:rPr>
        <w:t xml:space="preserve">у справах </w:t>
      </w:r>
      <w:r w:rsidRPr="00105635">
        <w:rPr>
          <w:rFonts w:ascii="Times New Roman" w:hAnsi="Times New Roman"/>
          <w:kern w:val="28"/>
          <w:sz w:val="24"/>
          <w:szCs w:val="28"/>
        </w:rPr>
        <w:t>є важливим інструмент</w:t>
      </w:r>
      <w:r w:rsidR="00631498">
        <w:rPr>
          <w:rFonts w:ascii="Times New Roman" w:hAnsi="Times New Roman"/>
          <w:kern w:val="28"/>
          <w:sz w:val="24"/>
          <w:szCs w:val="28"/>
        </w:rPr>
        <w:t>ом</w:t>
      </w:r>
      <w:r w:rsidRPr="00105635">
        <w:rPr>
          <w:rFonts w:ascii="Times New Roman" w:hAnsi="Times New Roman"/>
          <w:kern w:val="28"/>
          <w:sz w:val="24"/>
          <w:szCs w:val="28"/>
        </w:rPr>
        <w:t xml:space="preserve"> державного правозастосування конкурентного законодавства</w:t>
      </w:r>
      <w:r w:rsidR="00631498">
        <w:rPr>
          <w:rFonts w:ascii="Times New Roman" w:hAnsi="Times New Roman"/>
          <w:kern w:val="28"/>
          <w:sz w:val="24"/>
          <w:szCs w:val="28"/>
        </w:rPr>
        <w:t xml:space="preserve"> </w:t>
      </w:r>
      <w:r w:rsidR="008C05B7">
        <w:rPr>
          <w:rFonts w:ascii="Times New Roman" w:hAnsi="Times New Roman"/>
          <w:kern w:val="28"/>
          <w:sz w:val="24"/>
          <w:szCs w:val="28"/>
        </w:rPr>
        <w:t>в</w:t>
      </w:r>
      <w:r w:rsidRPr="00105635">
        <w:rPr>
          <w:rFonts w:ascii="Times New Roman" w:hAnsi="Times New Roman"/>
          <w:kern w:val="28"/>
          <w:sz w:val="24"/>
          <w:szCs w:val="28"/>
        </w:rPr>
        <w:t xml:space="preserve"> ЄС</w:t>
      </w:r>
      <w:r w:rsidR="000C0BAA">
        <w:rPr>
          <w:rFonts w:ascii="Times New Roman" w:hAnsi="Times New Roman"/>
          <w:kern w:val="28"/>
          <w:sz w:val="24"/>
          <w:szCs w:val="28"/>
        </w:rPr>
        <w:t xml:space="preserve">. 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>Директива Європейського Парламенту та Ради</w:t>
      </w:r>
      <w:r w:rsidR="000C0BAA">
        <w:rPr>
          <w:rFonts w:ascii="Times New Roman" w:hAnsi="Times New Roman"/>
          <w:kern w:val="28"/>
          <w:sz w:val="24"/>
          <w:szCs w:val="28"/>
        </w:rPr>
        <w:t xml:space="preserve"> від 11 грудня 2018 року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 xml:space="preserve"> </w:t>
      </w:r>
      <w:r w:rsidR="000C0BAA">
        <w:rPr>
          <w:rFonts w:ascii="Times New Roman" w:hAnsi="Times New Roman"/>
          <w:kern w:val="28"/>
          <w:sz w:val="24"/>
          <w:szCs w:val="28"/>
        </w:rPr>
        <w:t xml:space="preserve">№ 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>2019/1</w:t>
      </w:r>
      <w:r w:rsidR="000C0BAA">
        <w:rPr>
          <w:rFonts w:ascii="Times New Roman" w:hAnsi="Times New Roman"/>
          <w:kern w:val="28"/>
          <w:sz w:val="24"/>
          <w:szCs w:val="28"/>
        </w:rPr>
        <w:t xml:space="preserve"> щодо надання повноважень конкурентним відомства</w:t>
      </w:r>
      <w:r w:rsidR="00631498">
        <w:rPr>
          <w:rFonts w:ascii="Times New Roman" w:hAnsi="Times New Roman"/>
          <w:kern w:val="28"/>
          <w:sz w:val="24"/>
          <w:szCs w:val="28"/>
        </w:rPr>
        <w:t>м</w:t>
      </w:r>
      <w:r w:rsidR="000C0BAA">
        <w:rPr>
          <w:rFonts w:ascii="Times New Roman" w:hAnsi="Times New Roman"/>
          <w:kern w:val="28"/>
          <w:sz w:val="24"/>
          <w:szCs w:val="28"/>
        </w:rPr>
        <w:t xml:space="preserve"> держав-членів бути більш ефективними </w:t>
      </w:r>
      <w:r w:rsidR="00631498">
        <w:rPr>
          <w:rFonts w:ascii="Times New Roman" w:hAnsi="Times New Roman"/>
          <w:kern w:val="28"/>
          <w:sz w:val="24"/>
          <w:szCs w:val="28"/>
        </w:rPr>
        <w:t xml:space="preserve">у правозастосуванні </w:t>
      </w:r>
      <w:r w:rsidR="000C0BAA">
        <w:rPr>
          <w:rFonts w:ascii="Times New Roman" w:hAnsi="Times New Roman"/>
          <w:kern w:val="28"/>
          <w:sz w:val="24"/>
          <w:szCs w:val="28"/>
        </w:rPr>
        <w:t>та забезпечувати належне функціонування внутрішнього ринку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 xml:space="preserve"> </w:t>
      </w:r>
      <w:r w:rsidR="000C0BAA">
        <w:rPr>
          <w:rFonts w:ascii="Times New Roman" w:hAnsi="Times New Roman"/>
          <w:kern w:val="28"/>
          <w:sz w:val="24"/>
          <w:szCs w:val="28"/>
        </w:rPr>
        <w:t>(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>ECN+</w:t>
      </w:r>
      <w:r w:rsidR="000C0BAA">
        <w:rPr>
          <w:rFonts w:ascii="Times New Roman" w:hAnsi="Times New Roman"/>
          <w:kern w:val="28"/>
          <w:sz w:val="24"/>
          <w:szCs w:val="28"/>
        </w:rPr>
        <w:t>)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>,</w:t>
      </w:r>
      <w:r w:rsidR="000C0BAA">
        <w:rPr>
          <w:rFonts w:ascii="Times New Roman" w:hAnsi="Times New Roman"/>
          <w:kern w:val="28"/>
          <w:sz w:val="24"/>
          <w:szCs w:val="28"/>
        </w:rPr>
        <w:t xml:space="preserve"> 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>серед іншого, передбачає необхідність забезпеч</w:t>
      </w:r>
      <w:r w:rsidR="000C0BAA">
        <w:rPr>
          <w:rFonts w:ascii="Times New Roman" w:hAnsi="Times New Roman"/>
          <w:kern w:val="28"/>
          <w:sz w:val="24"/>
          <w:szCs w:val="28"/>
        </w:rPr>
        <w:t>ення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 xml:space="preserve"> наявн</w:t>
      </w:r>
      <w:r w:rsidR="000C0BAA">
        <w:rPr>
          <w:rFonts w:ascii="Times New Roman" w:hAnsi="Times New Roman"/>
          <w:kern w:val="28"/>
          <w:sz w:val="24"/>
          <w:szCs w:val="28"/>
        </w:rPr>
        <w:t>ості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 xml:space="preserve"> </w:t>
      </w:r>
      <w:r w:rsidR="008C05B7">
        <w:rPr>
          <w:rFonts w:ascii="Times New Roman" w:hAnsi="Times New Roman"/>
          <w:kern w:val="28"/>
          <w:sz w:val="24"/>
          <w:szCs w:val="28"/>
        </w:rPr>
        <w:t>в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 xml:space="preserve"> національних конкурентних відомств</w:t>
      </w:r>
      <w:r w:rsidR="000C0BAA">
        <w:rPr>
          <w:rFonts w:ascii="Times New Roman" w:hAnsi="Times New Roman"/>
          <w:kern w:val="28"/>
          <w:sz w:val="24"/>
          <w:szCs w:val="28"/>
        </w:rPr>
        <w:t xml:space="preserve"> держав-членів ЄС</w:t>
      </w:r>
      <w:r w:rsidR="000C0BAA" w:rsidRPr="000C0BAA">
        <w:rPr>
          <w:rFonts w:ascii="Times New Roman" w:hAnsi="Times New Roman"/>
          <w:kern w:val="28"/>
          <w:sz w:val="24"/>
          <w:szCs w:val="28"/>
        </w:rPr>
        <w:t xml:space="preserve"> </w:t>
      </w:r>
      <w:r w:rsidR="000C0BAA">
        <w:rPr>
          <w:rFonts w:ascii="Times New Roman" w:hAnsi="Times New Roman"/>
          <w:kern w:val="28"/>
          <w:sz w:val="24"/>
          <w:szCs w:val="28"/>
        </w:rPr>
        <w:t xml:space="preserve">процедури </w:t>
      </w:r>
      <w:r>
        <w:rPr>
          <w:rFonts w:ascii="Times New Roman" w:hAnsi="Times New Roman"/>
          <w:kern w:val="28"/>
          <w:sz w:val="24"/>
          <w:szCs w:val="28"/>
        </w:rPr>
        <w:t>врегулювання у справах.</w:t>
      </w:r>
    </w:p>
    <w:p w14:paraId="1FDFAB4E" w14:textId="159C7934" w:rsidR="006C37DE" w:rsidRDefault="009166D8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</w:rPr>
      </w:pPr>
      <w:r>
        <w:rPr>
          <w:rFonts w:ascii="Times New Roman" w:hAnsi="Times New Roman"/>
          <w:kern w:val="28"/>
          <w:sz w:val="24"/>
          <w:szCs w:val="28"/>
        </w:rPr>
        <w:t xml:space="preserve">У зв’язку </w:t>
      </w:r>
      <w:r w:rsidR="008C05B7">
        <w:rPr>
          <w:rFonts w:ascii="Times New Roman" w:hAnsi="Times New Roman"/>
          <w:kern w:val="28"/>
          <w:sz w:val="24"/>
          <w:szCs w:val="28"/>
        </w:rPr>
        <w:t>і</w:t>
      </w:r>
      <w:r>
        <w:rPr>
          <w:rFonts w:ascii="Times New Roman" w:hAnsi="Times New Roman"/>
          <w:kern w:val="28"/>
          <w:sz w:val="24"/>
          <w:szCs w:val="28"/>
        </w:rPr>
        <w:t xml:space="preserve">з цим, </w:t>
      </w:r>
      <w:r w:rsidR="00105635">
        <w:rPr>
          <w:rFonts w:ascii="Times New Roman" w:hAnsi="Times New Roman"/>
          <w:kern w:val="28"/>
          <w:sz w:val="24"/>
          <w:szCs w:val="28"/>
        </w:rPr>
        <w:t xml:space="preserve">прийняття </w:t>
      </w:r>
      <w:proofErr w:type="spellStart"/>
      <w:r w:rsidR="00105635">
        <w:rPr>
          <w:rFonts w:ascii="Times New Roman" w:hAnsi="Times New Roman"/>
          <w:kern w:val="28"/>
          <w:sz w:val="24"/>
          <w:szCs w:val="28"/>
        </w:rPr>
        <w:t>проєкту</w:t>
      </w:r>
      <w:proofErr w:type="spellEnd"/>
      <w:r w:rsidR="00105635">
        <w:rPr>
          <w:rFonts w:ascii="Times New Roman" w:hAnsi="Times New Roman"/>
          <w:kern w:val="28"/>
          <w:sz w:val="24"/>
          <w:szCs w:val="28"/>
        </w:rPr>
        <w:t xml:space="preserve"> </w:t>
      </w:r>
      <w:proofErr w:type="spellStart"/>
      <w:r w:rsidR="00105635">
        <w:rPr>
          <w:rFonts w:ascii="Times New Roman" w:hAnsi="Times New Roman"/>
          <w:kern w:val="28"/>
          <w:sz w:val="24"/>
          <w:szCs w:val="28"/>
        </w:rPr>
        <w:t>акта</w:t>
      </w:r>
      <w:proofErr w:type="spellEnd"/>
      <w:r w:rsidR="00105635">
        <w:rPr>
          <w:rFonts w:ascii="Times New Roman" w:hAnsi="Times New Roman"/>
          <w:kern w:val="28"/>
          <w:sz w:val="24"/>
          <w:szCs w:val="28"/>
        </w:rPr>
        <w:t xml:space="preserve"> є необхідним </w:t>
      </w:r>
      <w:r>
        <w:rPr>
          <w:rFonts w:ascii="Times New Roman" w:hAnsi="Times New Roman"/>
          <w:kern w:val="28"/>
          <w:sz w:val="24"/>
          <w:szCs w:val="28"/>
        </w:rPr>
        <w:t xml:space="preserve">задля </w:t>
      </w:r>
      <w:r w:rsidR="00105635">
        <w:rPr>
          <w:rFonts w:ascii="Times New Roman" w:hAnsi="Times New Roman"/>
          <w:kern w:val="28"/>
          <w:sz w:val="24"/>
          <w:szCs w:val="28"/>
        </w:rPr>
        <w:t xml:space="preserve">прискорення розслідувань порушень </w:t>
      </w:r>
      <w:r w:rsidR="00B6100D">
        <w:rPr>
          <w:rFonts w:ascii="Times New Roman" w:hAnsi="Times New Roman"/>
          <w:kern w:val="28"/>
          <w:sz w:val="24"/>
          <w:szCs w:val="28"/>
        </w:rPr>
        <w:t>К</w:t>
      </w:r>
      <w:r w:rsidR="00105635">
        <w:rPr>
          <w:rFonts w:ascii="Times New Roman" w:hAnsi="Times New Roman"/>
          <w:kern w:val="28"/>
          <w:sz w:val="24"/>
          <w:szCs w:val="28"/>
        </w:rPr>
        <w:t>омітетом та</w:t>
      </w:r>
      <w:r>
        <w:rPr>
          <w:rFonts w:ascii="Times New Roman" w:hAnsi="Times New Roman"/>
          <w:kern w:val="28"/>
          <w:sz w:val="24"/>
          <w:szCs w:val="28"/>
        </w:rPr>
        <w:t xml:space="preserve"> приведення </w:t>
      </w:r>
      <w:r w:rsidR="00105635">
        <w:rPr>
          <w:rFonts w:ascii="Times New Roman" w:hAnsi="Times New Roman"/>
          <w:kern w:val="28"/>
          <w:sz w:val="24"/>
          <w:szCs w:val="28"/>
        </w:rPr>
        <w:t xml:space="preserve">законодавства про захист економічної конкуренції </w:t>
      </w:r>
      <w:r>
        <w:rPr>
          <w:rFonts w:ascii="Times New Roman" w:hAnsi="Times New Roman"/>
          <w:kern w:val="28"/>
          <w:sz w:val="24"/>
          <w:szCs w:val="28"/>
        </w:rPr>
        <w:t xml:space="preserve">у відповідність </w:t>
      </w:r>
      <w:r w:rsidR="008C05B7">
        <w:rPr>
          <w:rFonts w:ascii="Times New Roman" w:hAnsi="Times New Roman"/>
          <w:kern w:val="28"/>
          <w:sz w:val="24"/>
          <w:szCs w:val="28"/>
        </w:rPr>
        <w:t xml:space="preserve">із </w:t>
      </w:r>
      <w:r>
        <w:rPr>
          <w:rFonts w:ascii="Times New Roman" w:hAnsi="Times New Roman"/>
          <w:kern w:val="28"/>
          <w:sz w:val="24"/>
          <w:szCs w:val="28"/>
        </w:rPr>
        <w:t>законодавств</w:t>
      </w:r>
      <w:r w:rsidR="008C05B7">
        <w:rPr>
          <w:rFonts w:ascii="Times New Roman" w:hAnsi="Times New Roman"/>
          <w:kern w:val="28"/>
          <w:sz w:val="24"/>
          <w:szCs w:val="28"/>
        </w:rPr>
        <w:t>ом</w:t>
      </w:r>
      <w:r>
        <w:rPr>
          <w:rFonts w:ascii="Times New Roman" w:hAnsi="Times New Roman"/>
          <w:kern w:val="28"/>
          <w:sz w:val="24"/>
          <w:szCs w:val="28"/>
        </w:rPr>
        <w:t xml:space="preserve"> ЄС.</w:t>
      </w:r>
    </w:p>
    <w:p w14:paraId="2EA97DA9" w14:textId="77777777" w:rsidR="00207DC9" w:rsidRPr="00763030" w:rsidRDefault="00207DC9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</w:rPr>
      </w:pPr>
    </w:p>
    <w:p w14:paraId="3061F8CA" w14:textId="14FFFB0D" w:rsidR="00F16CB7" w:rsidRPr="00763030" w:rsidRDefault="00F16CB7" w:rsidP="000C0B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Основні положення </w:t>
      </w:r>
      <w:proofErr w:type="spellStart"/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про</w:t>
      </w:r>
      <w:r w:rsidR="001F4058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є</w:t>
      </w:r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кту</w:t>
      </w:r>
      <w:proofErr w:type="spellEnd"/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 </w:t>
      </w:r>
      <w:proofErr w:type="spellStart"/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акта</w:t>
      </w:r>
      <w:proofErr w:type="spellEnd"/>
    </w:p>
    <w:p w14:paraId="39922371" w14:textId="2EE288F2" w:rsidR="00F16CB7" w:rsidRDefault="009F6FD2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</w:rPr>
      </w:pPr>
      <w:r>
        <w:rPr>
          <w:rFonts w:ascii="Times New Roman" w:hAnsi="Times New Roman"/>
          <w:kern w:val="28"/>
          <w:sz w:val="24"/>
          <w:szCs w:val="28"/>
        </w:rPr>
        <w:t>Процедура</w:t>
      </w:r>
      <w:r w:rsidR="001D6947">
        <w:rPr>
          <w:rFonts w:ascii="Times New Roman" w:hAnsi="Times New Roman"/>
          <w:kern w:val="28"/>
          <w:sz w:val="24"/>
          <w:szCs w:val="28"/>
        </w:rPr>
        <w:t xml:space="preserve"> врегулювання у справах </w:t>
      </w:r>
      <w:proofErr w:type="spellStart"/>
      <w:r w:rsidR="001D6947">
        <w:rPr>
          <w:rFonts w:ascii="Times New Roman" w:hAnsi="Times New Roman"/>
          <w:kern w:val="28"/>
          <w:sz w:val="24"/>
          <w:szCs w:val="28"/>
        </w:rPr>
        <w:t>надас</w:t>
      </w:r>
      <w:r w:rsidR="00DD356E">
        <w:rPr>
          <w:rFonts w:ascii="Times New Roman" w:hAnsi="Times New Roman"/>
          <w:kern w:val="28"/>
          <w:sz w:val="24"/>
          <w:szCs w:val="28"/>
        </w:rPr>
        <w:t>ть</w:t>
      </w:r>
      <w:proofErr w:type="spellEnd"/>
      <w:r w:rsidR="001D6947">
        <w:rPr>
          <w:rFonts w:ascii="Times New Roman" w:hAnsi="Times New Roman"/>
          <w:kern w:val="28"/>
          <w:sz w:val="24"/>
          <w:szCs w:val="28"/>
        </w:rPr>
        <w:t xml:space="preserve"> можливість суб’єктам господарювання, що вчинили порушення, отримати зменшення розміру штрафу на 15% за співпрацю з </w:t>
      </w:r>
      <w:r w:rsidR="00DD356E">
        <w:rPr>
          <w:rFonts w:ascii="Times New Roman" w:hAnsi="Times New Roman"/>
          <w:kern w:val="28"/>
          <w:sz w:val="24"/>
          <w:szCs w:val="28"/>
        </w:rPr>
        <w:t>Комітетом</w:t>
      </w:r>
      <w:r w:rsidR="001D6947">
        <w:rPr>
          <w:rFonts w:ascii="Times New Roman" w:hAnsi="Times New Roman"/>
          <w:kern w:val="28"/>
          <w:sz w:val="24"/>
          <w:szCs w:val="28"/>
        </w:rPr>
        <w:t xml:space="preserve"> у вигляді визнання, припинення порушення та усунення його наслідків.</w:t>
      </w:r>
      <w:r w:rsidR="00DD356E">
        <w:rPr>
          <w:rFonts w:ascii="Times New Roman" w:hAnsi="Times New Roman"/>
          <w:kern w:val="28"/>
          <w:sz w:val="24"/>
          <w:szCs w:val="28"/>
        </w:rPr>
        <w:t xml:space="preserve"> Порядок врегулювання у справах деталізує процедури та умови, на яких суб’єкт господарювання може отримати зменшення розміру штрафу, підвищує прозорість та правову визначеність.</w:t>
      </w:r>
    </w:p>
    <w:p w14:paraId="2F7FBBC7" w14:textId="74F77669" w:rsidR="00DD356E" w:rsidRDefault="00DD356E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</w:rPr>
      </w:pPr>
      <w:r>
        <w:rPr>
          <w:rFonts w:ascii="Times New Roman" w:hAnsi="Times New Roman"/>
          <w:kern w:val="28"/>
          <w:sz w:val="24"/>
          <w:szCs w:val="28"/>
        </w:rPr>
        <w:t>Таким чином</w:t>
      </w:r>
      <w:r w:rsidR="00D635C1">
        <w:rPr>
          <w:rFonts w:ascii="Times New Roman" w:hAnsi="Times New Roman"/>
          <w:kern w:val="28"/>
          <w:sz w:val="24"/>
          <w:szCs w:val="28"/>
        </w:rPr>
        <w:t>,</w:t>
      </w:r>
      <w:r>
        <w:rPr>
          <w:rFonts w:ascii="Times New Roman" w:hAnsi="Times New Roman"/>
          <w:kern w:val="28"/>
          <w:sz w:val="24"/>
          <w:szCs w:val="28"/>
        </w:rPr>
        <w:t xml:space="preserve"> порядок застосування процедури врегулювання у справах деталізує:</w:t>
      </w:r>
    </w:p>
    <w:p w14:paraId="30CBEE95" w14:textId="5BA10FE2" w:rsidR="00DD356E" w:rsidRDefault="00DD356E" w:rsidP="00DD356E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8"/>
        </w:rPr>
      </w:pPr>
      <w:r>
        <w:rPr>
          <w:rFonts w:ascii="Times New Roman" w:hAnsi="Times New Roman"/>
          <w:kern w:val="28"/>
          <w:sz w:val="24"/>
          <w:szCs w:val="28"/>
        </w:rPr>
        <w:t>порядок ініціювання процедури врегулювання у справах</w:t>
      </w:r>
      <w:r w:rsidRPr="00DD356E">
        <w:rPr>
          <w:rFonts w:ascii="Times New Roman" w:hAnsi="Times New Roman"/>
          <w:kern w:val="28"/>
          <w:sz w:val="24"/>
          <w:szCs w:val="28"/>
          <w:lang w:val="ru-RU"/>
        </w:rPr>
        <w:t>;</w:t>
      </w:r>
    </w:p>
    <w:p w14:paraId="4CEB2C5D" w14:textId="43AC8993" w:rsidR="00DD356E" w:rsidRPr="00DD356E" w:rsidRDefault="00DD356E" w:rsidP="00DD356E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8"/>
        </w:rPr>
      </w:pPr>
      <w:r>
        <w:rPr>
          <w:rFonts w:ascii="Times New Roman" w:hAnsi="Times New Roman"/>
          <w:kern w:val="28"/>
          <w:sz w:val="24"/>
          <w:szCs w:val="28"/>
        </w:rPr>
        <w:t>порядок та умови подання та розгляду Комітетом заяв на ініціювання процедури врегулювання у справах</w:t>
      </w:r>
      <w:r w:rsidRPr="00DD356E">
        <w:rPr>
          <w:rFonts w:ascii="Times New Roman" w:hAnsi="Times New Roman"/>
          <w:kern w:val="28"/>
          <w:sz w:val="24"/>
          <w:szCs w:val="28"/>
          <w:lang w:val="ru-RU"/>
        </w:rPr>
        <w:t>;</w:t>
      </w:r>
    </w:p>
    <w:p w14:paraId="27EA8565" w14:textId="1DF01204" w:rsidR="00207DC9" w:rsidRDefault="00DD356E" w:rsidP="00B6100D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8"/>
        </w:rPr>
      </w:pPr>
      <w:r>
        <w:rPr>
          <w:rFonts w:ascii="Times New Roman" w:hAnsi="Times New Roman"/>
          <w:kern w:val="28"/>
          <w:sz w:val="24"/>
          <w:szCs w:val="28"/>
        </w:rPr>
        <w:t>порядок та умови укладання угод про врегулювання у справах.</w:t>
      </w:r>
    </w:p>
    <w:p w14:paraId="1DEFDB5A" w14:textId="77777777" w:rsidR="00B6100D" w:rsidRPr="00B6100D" w:rsidRDefault="00B6100D" w:rsidP="00B6100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kern w:val="28"/>
          <w:sz w:val="24"/>
          <w:szCs w:val="28"/>
        </w:rPr>
      </w:pPr>
    </w:p>
    <w:p w14:paraId="1450CA7F" w14:textId="77777777" w:rsidR="00F16CB7" w:rsidRPr="00763030" w:rsidRDefault="00F16CB7" w:rsidP="000C0B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Правові аспекти</w:t>
      </w:r>
    </w:p>
    <w:p w14:paraId="13B9A0FE" w14:textId="0E118443" w:rsidR="00ED0BD8" w:rsidRDefault="00F16CB7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  <w:lang w:val="ru-RU"/>
        </w:rPr>
      </w:pPr>
      <w:r w:rsidRPr="00763030">
        <w:rPr>
          <w:rFonts w:ascii="Times New Roman" w:hAnsi="Times New Roman"/>
          <w:kern w:val="28"/>
          <w:sz w:val="24"/>
          <w:szCs w:val="28"/>
        </w:rPr>
        <w:t xml:space="preserve">Правові підстави розроблення </w:t>
      </w:r>
      <w:proofErr w:type="spellStart"/>
      <w:r w:rsidRPr="00763030">
        <w:rPr>
          <w:rFonts w:ascii="Times New Roman" w:hAnsi="Times New Roman"/>
          <w:kern w:val="28"/>
          <w:sz w:val="24"/>
          <w:szCs w:val="28"/>
        </w:rPr>
        <w:t>про</w:t>
      </w:r>
      <w:r w:rsidR="001F4058">
        <w:rPr>
          <w:rFonts w:ascii="Times New Roman" w:hAnsi="Times New Roman"/>
          <w:kern w:val="28"/>
          <w:sz w:val="24"/>
          <w:szCs w:val="28"/>
        </w:rPr>
        <w:t>є</w:t>
      </w:r>
      <w:r w:rsidRPr="00763030">
        <w:rPr>
          <w:rFonts w:ascii="Times New Roman" w:hAnsi="Times New Roman"/>
          <w:kern w:val="28"/>
          <w:sz w:val="24"/>
          <w:szCs w:val="28"/>
        </w:rPr>
        <w:t>кту</w:t>
      </w:r>
      <w:proofErr w:type="spellEnd"/>
      <w:r w:rsidRPr="00763030">
        <w:rPr>
          <w:rFonts w:ascii="Times New Roman" w:hAnsi="Times New Roman"/>
          <w:kern w:val="28"/>
          <w:sz w:val="24"/>
          <w:szCs w:val="28"/>
        </w:rPr>
        <w:t xml:space="preserve"> </w:t>
      </w:r>
      <w:proofErr w:type="spellStart"/>
      <w:r w:rsidRPr="00763030">
        <w:rPr>
          <w:rFonts w:ascii="Times New Roman" w:hAnsi="Times New Roman"/>
          <w:kern w:val="28"/>
          <w:sz w:val="24"/>
          <w:szCs w:val="28"/>
        </w:rPr>
        <w:t>акта</w:t>
      </w:r>
      <w:proofErr w:type="spellEnd"/>
      <w:r w:rsidR="00ED0BD8">
        <w:rPr>
          <w:rFonts w:ascii="Times New Roman" w:hAnsi="Times New Roman"/>
          <w:kern w:val="28"/>
          <w:sz w:val="24"/>
          <w:szCs w:val="28"/>
          <w:lang w:val="ru-RU"/>
        </w:rPr>
        <w:t>:</w:t>
      </w:r>
      <w:r w:rsidRPr="00763030">
        <w:rPr>
          <w:rFonts w:ascii="Times New Roman" w:hAnsi="Times New Roman"/>
          <w:kern w:val="28"/>
          <w:sz w:val="24"/>
          <w:szCs w:val="28"/>
        </w:rPr>
        <w:t xml:space="preserve"> Конституція України</w:t>
      </w:r>
      <w:r w:rsidR="00F7419B">
        <w:rPr>
          <w:rFonts w:ascii="Times New Roman" w:hAnsi="Times New Roman"/>
          <w:kern w:val="28"/>
          <w:sz w:val="24"/>
          <w:szCs w:val="28"/>
        </w:rPr>
        <w:t>;</w:t>
      </w:r>
    </w:p>
    <w:p w14:paraId="6D6B0E6B" w14:textId="6FA1B819" w:rsidR="00ED0BD8" w:rsidRDefault="009166D8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  <w:lang w:val="ru-RU"/>
        </w:rPr>
      </w:pPr>
      <w:r w:rsidRPr="000C0BAA">
        <w:rPr>
          <w:rFonts w:ascii="Times New Roman" w:hAnsi="Times New Roman"/>
          <w:kern w:val="28"/>
          <w:sz w:val="24"/>
          <w:szCs w:val="28"/>
        </w:rPr>
        <w:t>Директива Європейського Парламенту та Ради</w:t>
      </w:r>
      <w:r>
        <w:rPr>
          <w:rFonts w:ascii="Times New Roman" w:hAnsi="Times New Roman"/>
          <w:kern w:val="28"/>
          <w:sz w:val="24"/>
          <w:szCs w:val="28"/>
        </w:rPr>
        <w:t xml:space="preserve"> від 11 грудня 2018 року</w:t>
      </w:r>
      <w:r w:rsidRPr="000C0BAA">
        <w:rPr>
          <w:rFonts w:ascii="Times New Roman" w:hAnsi="Times New Roman"/>
          <w:kern w:val="28"/>
          <w:sz w:val="24"/>
          <w:szCs w:val="28"/>
        </w:rPr>
        <w:t xml:space="preserve"> </w:t>
      </w:r>
      <w:r>
        <w:rPr>
          <w:rFonts w:ascii="Times New Roman" w:hAnsi="Times New Roman"/>
          <w:kern w:val="28"/>
          <w:sz w:val="24"/>
          <w:szCs w:val="28"/>
        </w:rPr>
        <w:t xml:space="preserve">№ </w:t>
      </w:r>
      <w:r w:rsidRPr="000C0BAA">
        <w:rPr>
          <w:rFonts w:ascii="Times New Roman" w:hAnsi="Times New Roman"/>
          <w:kern w:val="28"/>
          <w:sz w:val="24"/>
          <w:szCs w:val="28"/>
        </w:rPr>
        <w:t>2019/1</w:t>
      </w:r>
      <w:r w:rsidR="00F7419B">
        <w:rPr>
          <w:rFonts w:ascii="Times New Roman" w:hAnsi="Times New Roman"/>
          <w:kern w:val="28"/>
          <w:sz w:val="24"/>
          <w:szCs w:val="28"/>
        </w:rPr>
        <w:t>;</w:t>
      </w:r>
    </w:p>
    <w:p w14:paraId="2844AE6D" w14:textId="5F269AC4" w:rsidR="00ED0BD8" w:rsidRDefault="009166D8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  <w:lang w:val="ru-RU"/>
        </w:rPr>
      </w:pPr>
      <w:r w:rsidRPr="009166D8">
        <w:rPr>
          <w:rFonts w:ascii="Times New Roman" w:hAnsi="Times New Roman"/>
          <w:kern w:val="28"/>
          <w:sz w:val="24"/>
          <w:szCs w:val="28"/>
        </w:rPr>
        <w:t>Закон України «Про Антимонопольний комітет України»</w:t>
      </w:r>
      <w:r w:rsidR="00F7419B">
        <w:rPr>
          <w:rFonts w:ascii="Times New Roman" w:hAnsi="Times New Roman"/>
          <w:kern w:val="28"/>
          <w:sz w:val="24"/>
          <w:szCs w:val="28"/>
        </w:rPr>
        <w:t>;</w:t>
      </w:r>
    </w:p>
    <w:p w14:paraId="7A75222E" w14:textId="6B0C4835" w:rsidR="00F16CB7" w:rsidRDefault="009166D8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</w:rPr>
      </w:pPr>
      <w:r w:rsidRPr="009166D8">
        <w:rPr>
          <w:rFonts w:ascii="Times New Roman" w:hAnsi="Times New Roman"/>
          <w:kern w:val="28"/>
          <w:sz w:val="24"/>
          <w:szCs w:val="28"/>
        </w:rPr>
        <w:t>Закон України</w:t>
      </w:r>
      <w:r>
        <w:rPr>
          <w:rFonts w:ascii="Times New Roman" w:hAnsi="Times New Roman"/>
          <w:kern w:val="28"/>
          <w:sz w:val="24"/>
          <w:szCs w:val="28"/>
        </w:rPr>
        <w:t xml:space="preserve"> «Про захист економічної конкуренції»</w:t>
      </w:r>
      <w:r w:rsidR="00F16CB7" w:rsidRPr="00763030">
        <w:rPr>
          <w:rFonts w:ascii="Times New Roman" w:hAnsi="Times New Roman"/>
          <w:kern w:val="28"/>
          <w:sz w:val="24"/>
          <w:szCs w:val="28"/>
        </w:rPr>
        <w:t>.</w:t>
      </w:r>
    </w:p>
    <w:p w14:paraId="46E287DC" w14:textId="77777777" w:rsidR="00D635C1" w:rsidRPr="00763030" w:rsidRDefault="00D635C1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</w:rPr>
      </w:pPr>
      <w:bookmarkStart w:id="0" w:name="_GoBack"/>
      <w:bookmarkEnd w:id="0"/>
    </w:p>
    <w:p w14:paraId="7AAD39D1" w14:textId="77777777" w:rsidR="00F16CB7" w:rsidRPr="00763030" w:rsidRDefault="00F16CB7" w:rsidP="000C0B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Фінансово-економічне обґрунтування</w:t>
      </w:r>
    </w:p>
    <w:p w14:paraId="79084CAD" w14:textId="6FFB7997" w:rsidR="00FC39CA" w:rsidRDefault="00FC39CA" w:rsidP="00FC39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kern w:val="28"/>
          <w:sz w:val="24"/>
          <w:szCs w:val="28"/>
          <w:lang w:eastAsia="ru-RU"/>
        </w:rPr>
      </w:pPr>
      <w:r w:rsidRPr="00FC39C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Реалізація </w:t>
      </w:r>
      <w:proofErr w:type="spellStart"/>
      <w:r w:rsidRPr="00FC39CA">
        <w:rPr>
          <w:rFonts w:ascii="Times New Roman" w:hAnsi="Times New Roman"/>
          <w:bCs/>
          <w:kern w:val="28"/>
          <w:sz w:val="24"/>
          <w:szCs w:val="28"/>
          <w:lang w:eastAsia="ru-RU"/>
        </w:rPr>
        <w:t>акта</w:t>
      </w:r>
      <w:proofErr w:type="spellEnd"/>
      <w:r w:rsidRPr="00FC39C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не має впливу на надходження місцевих бюджетів та на витрати державного та місцевого бюджетів.</w:t>
      </w:r>
    </w:p>
    <w:p w14:paraId="577E629C" w14:textId="7B82E453" w:rsidR="00833B47" w:rsidRDefault="00833B47" w:rsidP="00833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lastRenderedPageBreak/>
        <w:t xml:space="preserve">Реалізація </w:t>
      </w:r>
      <w:proofErr w:type="spellStart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>проєкту</w:t>
      </w:r>
      <w:proofErr w:type="spellEnd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>акта</w:t>
      </w:r>
      <w:proofErr w:type="spellEnd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не потребуватиме збільшення витрат з державного бюджету та буде здійснена в межах видатків</w:t>
      </w:r>
      <w:r w:rsidR="00D635C1">
        <w:rPr>
          <w:rFonts w:ascii="Times New Roman" w:hAnsi="Times New Roman"/>
          <w:bCs/>
          <w:kern w:val="28"/>
          <w:sz w:val="24"/>
          <w:szCs w:val="28"/>
          <w:lang w:eastAsia="ru-RU"/>
        </w:rPr>
        <w:t>,</w:t>
      </w:r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передбачених у законі України про Державний бюджет України на відповідний рік для Комітету.</w:t>
      </w:r>
    </w:p>
    <w:p w14:paraId="4E727113" w14:textId="77777777" w:rsidR="00FC39CA" w:rsidRPr="00FC39CA" w:rsidRDefault="00FC39CA" w:rsidP="00FC39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kern w:val="28"/>
          <w:sz w:val="24"/>
          <w:szCs w:val="28"/>
          <w:lang w:eastAsia="ru-RU"/>
        </w:rPr>
      </w:pPr>
      <w:r w:rsidRPr="00FC39C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Вплив реалізації </w:t>
      </w:r>
      <w:proofErr w:type="spellStart"/>
      <w:r w:rsidRPr="00FC39CA">
        <w:rPr>
          <w:rFonts w:ascii="Times New Roman" w:hAnsi="Times New Roman"/>
          <w:bCs/>
          <w:kern w:val="28"/>
          <w:sz w:val="24"/>
          <w:szCs w:val="28"/>
          <w:lang w:eastAsia="ru-RU"/>
        </w:rPr>
        <w:t>акта</w:t>
      </w:r>
      <w:proofErr w:type="spellEnd"/>
      <w:r w:rsidRPr="00FC39C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на надходження державного бюджету не може бути визначеним, оскільки неможливо спрогнозувати кількість звернень до Комітету щодо застосування врегулювання у справах.</w:t>
      </w:r>
    </w:p>
    <w:p w14:paraId="48F0143A" w14:textId="0CDAD8EA" w:rsidR="0020780F" w:rsidRDefault="00D635C1" w:rsidP="00207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kern w:val="28"/>
          <w:sz w:val="24"/>
          <w:szCs w:val="28"/>
        </w:rPr>
      </w:pPr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З огляду на </w:t>
      </w:r>
      <w:r w:rsidR="00FC39CA" w:rsidRPr="00FC39CA">
        <w:rPr>
          <w:rFonts w:ascii="Times New Roman" w:hAnsi="Times New Roman"/>
          <w:bCs/>
          <w:kern w:val="28"/>
          <w:sz w:val="24"/>
          <w:szCs w:val="28"/>
          <w:lang w:eastAsia="ru-RU"/>
        </w:rPr>
        <w:t>розмір</w:t>
      </w:r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>и</w:t>
      </w:r>
      <w:r w:rsidR="00FC39CA" w:rsidRPr="00FC39C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штрафів за порушення законодавства у вигляді </w:t>
      </w:r>
      <w:proofErr w:type="spellStart"/>
      <w:r w:rsidR="00FC39CA" w:rsidRPr="00FC39CA">
        <w:rPr>
          <w:rFonts w:ascii="Times New Roman" w:hAnsi="Times New Roman"/>
          <w:bCs/>
          <w:kern w:val="28"/>
          <w:sz w:val="24"/>
          <w:szCs w:val="28"/>
          <w:lang w:eastAsia="ru-RU"/>
        </w:rPr>
        <w:t>антиконкурентних</w:t>
      </w:r>
      <w:proofErr w:type="spellEnd"/>
      <w:r w:rsidR="00FC39CA" w:rsidRPr="00FC39C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узгоджених дій суб’єктів господарювання та зловживань монопольним (домінуючим) становищем, сплачених у 2021-2022 роках (753,6 млн грн)</w:t>
      </w:r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>,</w:t>
      </w:r>
      <w:r w:rsidR="00FC39CA" w:rsidRPr="00FC39C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максимально можливе зменшення надходжень до державного бюджету внаслідок застосування врегулювання за </w:t>
      </w:r>
      <w:r w:rsidR="00DB5260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1 </w:t>
      </w:r>
      <w:r w:rsidR="00FC39CA" w:rsidRPr="00FC39CA">
        <w:rPr>
          <w:rFonts w:ascii="Times New Roman" w:hAnsi="Times New Roman"/>
          <w:bCs/>
          <w:kern w:val="28"/>
          <w:sz w:val="24"/>
          <w:szCs w:val="28"/>
          <w:lang w:eastAsia="ru-RU"/>
        </w:rPr>
        <w:t>рік не перевищуватиме 56,5 млн грн.</w:t>
      </w:r>
      <w:r w:rsidR="0020780F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При цьому зазначений вплив випливає не із застосування цього </w:t>
      </w:r>
      <w:proofErr w:type="spellStart"/>
      <w:r w:rsidR="0020780F">
        <w:rPr>
          <w:rFonts w:ascii="Times New Roman" w:hAnsi="Times New Roman"/>
          <w:bCs/>
          <w:kern w:val="28"/>
          <w:sz w:val="24"/>
          <w:szCs w:val="28"/>
          <w:lang w:eastAsia="ru-RU"/>
        </w:rPr>
        <w:t>акта</w:t>
      </w:r>
      <w:proofErr w:type="spellEnd"/>
      <w:r w:rsidR="0020780F">
        <w:rPr>
          <w:rFonts w:ascii="Times New Roman" w:hAnsi="Times New Roman"/>
          <w:bCs/>
          <w:kern w:val="28"/>
          <w:sz w:val="24"/>
          <w:szCs w:val="28"/>
          <w:lang w:eastAsia="ru-RU"/>
        </w:rPr>
        <w:t>, а з норм Закону</w:t>
      </w:r>
      <w:r w:rsidR="0020780F">
        <w:rPr>
          <w:rFonts w:ascii="Times New Roman" w:hAnsi="Times New Roman"/>
          <w:bCs/>
          <w:kern w:val="28"/>
          <w:sz w:val="24"/>
          <w:szCs w:val="28"/>
        </w:rPr>
        <w:t>.</w:t>
      </w:r>
    </w:p>
    <w:p w14:paraId="07FDAE46" w14:textId="61FD2850" w:rsidR="001A2F9A" w:rsidRDefault="001A2F9A" w:rsidP="001A2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8"/>
          <w:lang w:eastAsia="ru-RU"/>
        </w:rPr>
      </w:pPr>
      <w:r w:rsidRPr="0000064D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Разом із тим зазначене зменшення розміру сплачених до Державного бюджету штрафів унаслідок застосування звільнення до окремих учасників </w:t>
      </w:r>
      <w:proofErr w:type="spellStart"/>
      <w:r w:rsidRPr="0000064D">
        <w:rPr>
          <w:rFonts w:ascii="Times New Roman" w:hAnsi="Times New Roman"/>
          <w:bCs/>
          <w:kern w:val="28"/>
          <w:sz w:val="24"/>
          <w:szCs w:val="28"/>
          <w:lang w:eastAsia="ru-RU"/>
        </w:rPr>
        <w:t>антиконкурентних</w:t>
      </w:r>
      <w:proofErr w:type="spellEnd"/>
      <w:r w:rsidRPr="0000064D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узгоджених дій має компенсуватися за рахунок збільшення кількості виявлених порушень цього виду, можливості обґрунтувати більший розмір штрафу для учасників </w:t>
      </w:r>
      <w:proofErr w:type="spellStart"/>
      <w:r w:rsidRPr="0000064D">
        <w:rPr>
          <w:rFonts w:ascii="Times New Roman" w:hAnsi="Times New Roman"/>
          <w:bCs/>
          <w:kern w:val="28"/>
          <w:sz w:val="24"/>
          <w:szCs w:val="28"/>
          <w:lang w:eastAsia="ru-RU"/>
        </w:rPr>
        <w:t>антиконкурентних</w:t>
      </w:r>
      <w:proofErr w:type="spellEnd"/>
      <w:r w:rsidRPr="0000064D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узгоджених дій, на яких звільнення не поширюється. Втім здійснити кількісний прогноз такого компенсування не виявляється можливим.</w:t>
      </w:r>
    </w:p>
    <w:p w14:paraId="7826BEAB" w14:textId="77777777" w:rsidR="001A2F9A" w:rsidRPr="00797585" w:rsidRDefault="001A2F9A" w:rsidP="00207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kern w:val="28"/>
          <w:sz w:val="24"/>
          <w:szCs w:val="28"/>
          <w:lang w:eastAsia="ru-RU"/>
        </w:rPr>
      </w:pPr>
    </w:p>
    <w:p w14:paraId="473273FB" w14:textId="77777777" w:rsidR="00F16CB7" w:rsidRPr="00763030" w:rsidRDefault="00F16CB7" w:rsidP="000C0B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 w:rsidRPr="0076303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 xml:space="preserve">Позиція заінтересованих сторін </w:t>
      </w:r>
    </w:p>
    <w:p w14:paraId="75984224" w14:textId="272D8E75" w:rsidR="007B4112" w:rsidRPr="00333B40" w:rsidRDefault="007622E5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</w:rPr>
      </w:pPr>
      <w:r w:rsidRPr="007622E5">
        <w:rPr>
          <w:rFonts w:ascii="Times New Roman" w:hAnsi="Times New Roman"/>
          <w:kern w:val="28"/>
          <w:sz w:val="24"/>
          <w:szCs w:val="28"/>
        </w:rPr>
        <w:t>Публічні консультації будуть проведені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 р. № 996 «Про забезпечення участі громадськості у формуванні та реалізації державної політики».</w:t>
      </w:r>
    </w:p>
    <w:p w14:paraId="6D2E56BC" w14:textId="3FA20CF6" w:rsidR="007B4112" w:rsidRPr="00333B40" w:rsidRDefault="007B4112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</w:rPr>
      </w:pPr>
      <w:proofErr w:type="spellStart"/>
      <w:r w:rsidRPr="00333B40">
        <w:rPr>
          <w:rFonts w:ascii="Times New Roman" w:hAnsi="Times New Roman"/>
          <w:kern w:val="28"/>
          <w:sz w:val="24"/>
          <w:szCs w:val="28"/>
        </w:rPr>
        <w:t>Проєкт</w:t>
      </w:r>
      <w:proofErr w:type="spellEnd"/>
      <w:r w:rsidRPr="00333B40">
        <w:rPr>
          <w:rFonts w:ascii="Times New Roman" w:hAnsi="Times New Roman"/>
          <w:kern w:val="28"/>
          <w:sz w:val="24"/>
          <w:szCs w:val="28"/>
        </w:rPr>
        <w:t xml:space="preserve"> </w:t>
      </w:r>
      <w:r w:rsidR="00341F01">
        <w:rPr>
          <w:rFonts w:ascii="Times New Roman" w:hAnsi="Times New Roman"/>
          <w:kern w:val="28"/>
          <w:sz w:val="24"/>
          <w:szCs w:val="28"/>
        </w:rPr>
        <w:t>розпорядження</w:t>
      </w:r>
      <w:r w:rsidRPr="00333B40">
        <w:rPr>
          <w:rFonts w:ascii="Times New Roman" w:hAnsi="Times New Roman"/>
          <w:kern w:val="28"/>
          <w:sz w:val="24"/>
          <w:szCs w:val="28"/>
        </w:rPr>
        <w:t xml:space="preserve"> не стосується питань </w:t>
      </w:r>
      <w:r w:rsidR="005F1169" w:rsidRPr="00333B40">
        <w:rPr>
          <w:rFonts w:ascii="Times New Roman" w:hAnsi="Times New Roman"/>
          <w:kern w:val="28"/>
          <w:sz w:val="24"/>
          <w:szCs w:val="28"/>
        </w:rPr>
        <w:t>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 w:rsidR="00FB0D22">
        <w:rPr>
          <w:rFonts w:ascii="Times New Roman" w:hAnsi="Times New Roman"/>
          <w:kern w:val="28"/>
          <w:sz w:val="24"/>
          <w:szCs w:val="28"/>
        </w:rPr>
        <w:t>.</w:t>
      </w:r>
      <w:r w:rsidR="005F1169" w:rsidRPr="00333B40">
        <w:rPr>
          <w:rFonts w:ascii="Times New Roman" w:hAnsi="Times New Roman"/>
          <w:kern w:val="28"/>
          <w:sz w:val="24"/>
          <w:szCs w:val="28"/>
        </w:rPr>
        <w:t xml:space="preserve"> </w:t>
      </w:r>
    </w:p>
    <w:p w14:paraId="2EF53CD1" w14:textId="4D3D023C" w:rsidR="00763030" w:rsidRDefault="007B4112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</w:rPr>
      </w:pPr>
      <w:r w:rsidRPr="00333B40">
        <w:rPr>
          <w:rFonts w:ascii="Times New Roman" w:hAnsi="Times New Roman"/>
          <w:kern w:val="28"/>
          <w:sz w:val="24"/>
          <w:szCs w:val="28"/>
        </w:rPr>
        <w:t xml:space="preserve">Реалізація положень </w:t>
      </w:r>
      <w:proofErr w:type="spellStart"/>
      <w:r w:rsidRPr="00333B40">
        <w:rPr>
          <w:rFonts w:ascii="Times New Roman" w:hAnsi="Times New Roman"/>
          <w:kern w:val="28"/>
          <w:sz w:val="24"/>
          <w:szCs w:val="28"/>
        </w:rPr>
        <w:t>проєкту</w:t>
      </w:r>
      <w:proofErr w:type="spellEnd"/>
      <w:r w:rsidRPr="00333B40">
        <w:rPr>
          <w:rFonts w:ascii="Times New Roman" w:hAnsi="Times New Roman"/>
          <w:kern w:val="28"/>
          <w:sz w:val="24"/>
          <w:szCs w:val="28"/>
        </w:rPr>
        <w:t xml:space="preserve"> </w:t>
      </w:r>
      <w:r w:rsidR="00341F01">
        <w:rPr>
          <w:rFonts w:ascii="Times New Roman" w:hAnsi="Times New Roman"/>
          <w:kern w:val="28"/>
          <w:sz w:val="24"/>
          <w:szCs w:val="28"/>
        </w:rPr>
        <w:t>розпорядження</w:t>
      </w:r>
      <w:r w:rsidRPr="00333B40">
        <w:rPr>
          <w:rFonts w:ascii="Times New Roman" w:hAnsi="Times New Roman"/>
          <w:kern w:val="28"/>
          <w:sz w:val="24"/>
          <w:szCs w:val="28"/>
        </w:rPr>
        <w:t xml:space="preserve"> не стосується </w:t>
      </w:r>
      <w:r w:rsidR="005F1169" w:rsidRPr="00333B40">
        <w:rPr>
          <w:rFonts w:ascii="Times New Roman" w:hAnsi="Times New Roman"/>
          <w:kern w:val="28"/>
          <w:sz w:val="24"/>
          <w:szCs w:val="28"/>
        </w:rPr>
        <w:t>сфери наукової та науково-технічної діяльності</w:t>
      </w:r>
      <w:r w:rsidRPr="00333B40">
        <w:rPr>
          <w:rFonts w:ascii="Times New Roman" w:hAnsi="Times New Roman"/>
          <w:kern w:val="28"/>
          <w:sz w:val="24"/>
          <w:szCs w:val="28"/>
        </w:rPr>
        <w:t>, а тому не направляється на розгляд до Наукового комітету Національної ради з питань розвитку науки і технологій.</w:t>
      </w:r>
    </w:p>
    <w:p w14:paraId="1043A63E" w14:textId="122F1550" w:rsidR="009D5D9E" w:rsidRPr="009D5D9E" w:rsidRDefault="009D5D9E" w:rsidP="009D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</w:rPr>
      </w:pPr>
      <w:r w:rsidRPr="009D5D9E">
        <w:rPr>
          <w:rFonts w:ascii="Times New Roman" w:hAnsi="Times New Roman"/>
          <w:kern w:val="28"/>
          <w:sz w:val="24"/>
          <w:szCs w:val="28"/>
        </w:rPr>
        <w:t xml:space="preserve">Відповідно до пункту 3 розділу ІІ «Прикінцеві та перехідні положення» Закону до порядку підготовки та прийняття нормативно-правових актів Комітету, що приймаються на виконання вимог цього Закону, не застосовуються вимоги Закону України </w:t>
      </w:r>
      <w:r w:rsidR="00F77F55">
        <w:rPr>
          <w:rFonts w:ascii="Times New Roman" w:hAnsi="Times New Roman"/>
          <w:kern w:val="28"/>
          <w:sz w:val="24"/>
          <w:szCs w:val="28"/>
        </w:rPr>
        <w:t>«</w:t>
      </w:r>
      <w:r w:rsidRPr="009D5D9E">
        <w:rPr>
          <w:rFonts w:ascii="Times New Roman" w:hAnsi="Times New Roman"/>
          <w:kern w:val="28"/>
          <w:sz w:val="24"/>
          <w:szCs w:val="28"/>
        </w:rPr>
        <w:t>Про засади державної регуляторної політики у сфері господарської діяльності</w:t>
      </w:r>
      <w:r w:rsidR="00F77F55">
        <w:rPr>
          <w:rFonts w:ascii="Times New Roman" w:hAnsi="Times New Roman"/>
          <w:kern w:val="28"/>
          <w:sz w:val="24"/>
          <w:szCs w:val="28"/>
        </w:rPr>
        <w:t>»</w:t>
      </w:r>
      <w:r w:rsidRPr="009D5D9E">
        <w:rPr>
          <w:rFonts w:ascii="Times New Roman" w:hAnsi="Times New Roman"/>
          <w:kern w:val="28"/>
          <w:sz w:val="24"/>
          <w:szCs w:val="28"/>
        </w:rPr>
        <w:t xml:space="preserve">. </w:t>
      </w:r>
      <w:proofErr w:type="spellStart"/>
      <w:r w:rsidRPr="009D5D9E">
        <w:rPr>
          <w:rFonts w:ascii="Times New Roman" w:hAnsi="Times New Roman"/>
          <w:kern w:val="28"/>
          <w:sz w:val="24"/>
          <w:szCs w:val="28"/>
        </w:rPr>
        <w:t>Про</w:t>
      </w:r>
      <w:r w:rsidR="00F77F55">
        <w:rPr>
          <w:rFonts w:ascii="Times New Roman" w:hAnsi="Times New Roman"/>
          <w:kern w:val="28"/>
          <w:sz w:val="24"/>
          <w:szCs w:val="28"/>
        </w:rPr>
        <w:t>є</w:t>
      </w:r>
      <w:r w:rsidRPr="009D5D9E">
        <w:rPr>
          <w:rFonts w:ascii="Times New Roman" w:hAnsi="Times New Roman"/>
          <w:kern w:val="28"/>
          <w:sz w:val="24"/>
          <w:szCs w:val="28"/>
        </w:rPr>
        <w:t>кти</w:t>
      </w:r>
      <w:proofErr w:type="spellEnd"/>
      <w:r w:rsidRPr="009D5D9E">
        <w:rPr>
          <w:rFonts w:ascii="Times New Roman" w:hAnsi="Times New Roman"/>
          <w:kern w:val="28"/>
          <w:sz w:val="24"/>
          <w:szCs w:val="28"/>
        </w:rPr>
        <w:t xml:space="preserve"> таких нормативно-правових актів обов’язково оприлюднюються не пізніше ніж за 15 календарних днів до дати їх розгляду з метою прийняття. З питань прийняття таких нормативно-правових актів у встановленому законодавством порядку проводяться консультації з громадськістю.</w:t>
      </w:r>
    </w:p>
    <w:p w14:paraId="388B837A" w14:textId="46440F5A" w:rsidR="009D5D9E" w:rsidRDefault="009D5D9E" w:rsidP="009D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</w:rPr>
      </w:pPr>
      <w:r w:rsidRPr="009D5D9E">
        <w:rPr>
          <w:rFonts w:ascii="Times New Roman" w:hAnsi="Times New Roman"/>
          <w:kern w:val="28"/>
          <w:sz w:val="24"/>
          <w:szCs w:val="28"/>
        </w:rPr>
        <w:t xml:space="preserve">Отже </w:t>
      </w:r>
      <w:proofErr w:type="spellStart"/>
      <w:r w:rsidRPr="009D5D9E">
        <w:rPr>
          <w:rFonts w:ascii="Times New Roman" w:hAnsi="Times New Roman"/>
          <w:kern w:val="28"/>
          <w:sz w:val="24"/>
          <w:szCs w:val="28"/>
        </w:rPr>
        <w:t>проєкт</w:t>
      </w:r>
      <w:proofErr w:type="spellEnd"/>
      <w:r w:rsidRPr="009D5D9E">
        <w:rPr>
          <w:rFonts w:ascii="Times New Roman" w:hAnsi="Times New Roman"/>
          <w:kern w:val="28"/>
          <w:sz w:val="24"/>
          <w:szCs w:val="28"/>
        </w:rPr>
        <w:t xml:space="preserve"> </w:t>
      </w:r>
      <w:proofErr w:type="spellStart"/>
      <w:r w:rsidRPr="009D5D9E">
        <w:rPr>
          <w:rFonts w:ascii="Times New Roman" w:hAnsi="Times New Roman"/>
          <w:kern w:val="28"/>
          <w:sz w:val="24"/>
          <w:szCs w:val="28"/>
        </w:rPr>
        <w:t>акта</w:t>
      </w:r>
      <w:proofErr w:type="spellEnd"/>
      <w:r w:rsidRPr="009D5D9E">
        <w:rPr>
          <w:rFonts w:ascii="Times New Roman" w:hAnsi="Times New Roman"/>
          <w:kern w:val="28"/>
          <w:sz w:val="24"/>
          <w:szCs w:val="28"/>
        </w:rPr>
        <w:t xml:space="preserve"> буде направлено до Державної регуляторної служби України для отримання відповідних роз’яснень (позиції).</w:t>
      </w:r>
    </w:p>
    <w:p w14:paraId="3C0DD84C" w14:textId="77777777" w:rsidR="009D5D9E" w:rsidRPr="00333B40" w:rsidRDefault="009D5D9E" w:rsidP="009D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</w:rPr>
      </w:pPr>
    </w:p>
    <w:p w14:paraId="112AEAA8" w14:textId="77777777" w:rsidR="00F16CB7" w:rsidRPr="00333B40" w:rsidRDefault="00F16CB7" w:rsidP="000C0B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 w:rsidRPr="00333B4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Оцінка відповідності</w:t>
      </w:r>
    </w:p>
    <w:p w14:paraId="3678E282" w14:textId="26BC19B2" w:rsidR="00F16CB7" w:rsidRDefault="004C417A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>Проєкт</w:t>
      </w:r>
      <w:proofErr w:type="spellEnd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>акта</w:t>
      </w:r>
      <w:proofErr w:type="spellEnd"/>
      <w:r w:rsidR="00793458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спрямований на </w:t>
      </w:r>
      <w:r w:rsidR="002A25B4">
        <w:rPr>
          <w:rFonts w:ascii="Times New Roman" w:hAnsi="Times New Roman"/>
          <w:bCs/>
          <w:kern w:val="28"/>
          <w:sz w:val="24"/>
          <w:szCs w:val="28"/>
          <w:lang w:eastAsia="ru-RU"/>
        </w:rPr>
        <w:t>імплементацію європейсь</w:t>
      </w:r>
      <w:r w:rsidR="001D6947">
        <w:rPr>
          <w:rFonts w:ascii="Times New Roman" w:hAnsi="Times New Roman"/>
          <w:bCs/>
          <w:kern w:val="28"/>
          <w:sz w:val="24"/>
          <w:szCs w:val="28"/>
          <w:lang w:eastAsia="ru-RU"/>
        </w:rPr>
        <w:t>к</w:t>
      </w:r>
      <w:r w:rsidR="002A25B4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ого законодавства, що врегульовує </w:t>
      </w:r>
      <w:r w:rsidR="001D6947">
        <w:rPr>
          <w:rFonts w:ascii="Times New Roman" w:hAnsi="Times New Roman"/>
          <w:bCs/>
          <w:kern w:val="28"/>
          <w:sz w:val="24"/>
          <w:szCs w:val="28"/>
          <w:lang w:eastAsia="ru-RU"/>
        </w:rPr>
        <w:t>процедуру врегулювання у справах,</w:t>
      </w:r>
      <w:r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kern w:val="28"/>
          <w:sz w:val="24"/>
          <w:szCs w:val="28"/>
        </w:rPr>
        <w:t>а саме</w:t>
      </w:r>
      <w:r w:rsidR="001D6947">
        <w:rPr>
          <w:rFonts w:ascii="Times New Roman" w:hAnsi="Times New Roman"/>
          <w:kern w:val="28"/>
          <w:sz w:val="24"/>
          <w:szCs w:val="28"/>
        </w:rPr>
        <w:t xml:space="preserve"> </w:t>
      </w:r>
      <w:r w:rsidRPr="000C0BAA">
        <w:rPr>
          <w:rFonts w:ascii="Times New Roman" w:hAnsi="Times New Roman"/>
          <w:kern w:val="28"/>
          <w:sz w:val="24"/>
          <w:szCs w:val="28"/>
        </w:rPr>
        <w:t>Директив</w:t>
      </w:r>
      <w:r w:rsidR="001D6947">
        <w:rPr>
          <w:rFonts w:ascii="Times New Roman" w:hAnsi="Times New Roman"/>
          <w:kern w:val="28"/>
          <w:sz w:val="24"/>
          <w:szCs w:val="28"/>
        </w:rPr>
        <w:t>и</w:t>
      </w:r>
      <w:r w:rsidRPr="000C0BAA">
        <w:rPr>
          <w:rFonts w:ascii="Times New Roman" w:hAnsi="Times New Roman"/>
          <w:kern w:val="28"/>
          <w:sz w:val="24"/>
          <w:szCs w:val="28"/>
        </w:rPr>
        <w:t xml:space="preserve"> Європейського Парламенту та Ради</w:t>
      </w:r>
      <w:r>
        <w:rPr>
          <w:rFonts w:ascii="Times New Roman" w:hAnsi="Times New Roman"/>
          <w:kern w:val="28"/>
          <w:sz w:val="24"/>
          <w:szCs w:val="28"/>
        </w:rPr>
        <w:t xml:space="preserve"> від 11 грудня 2018 року</w:t>
      </w:r>
      <w:r w:rsidRPr="000C0BAA">
        <w:rPr>
          <w:rFonts w:ascii="Times New Roman" w:hAnsi="Times New Roman"/>
          <w:kern w:val="28"/>
          <w:sz w:val="24"/>
          <w:szCs w:val="28"/>
        </w:rPr>
        <w:t xml:space="preserve"> </w:t>
      </w:r>
      <w:r>
        <w:rPr>
          <w:rFonts w:ascii="Times New Roman" w:hAnsi="Times New Roman"/>
          <w:kern w:val="28"/>
          <w:sz w:val="24"/>
          <w:szCs w:val="28"/>
        </w:rPr>
        <w:t xml:space="preserve">№ </w:t>
      </w:r>
      <w:r w:rsidRPr="000C0BAA">
        <w:rPr>
          <w:rFonts w:ascii="Times New Roman" w:hAnsi="Times New Roman"/>
          <w:kern w:val="28"/>
          <w:sz w:val="24"/>
          <w:szCs w:val="28"/>
        </w:rPr>
        <w:t>2019/1</w:t>
      </w:r>
      <w:r w:rsidR="00B82D71">
        <w:rPr>
          <w:rFonts w:ascii="Times New Roman" w:hAnsi="Times New Roman"/>
          <w:kern w:val="28"/>
          <w:sz w:val="24"/>
          <w:szCs w:val="28"/>
          <w:lang w:eastAsia="ru-RU"/>
        </w:rPr>
        <w:t xml:space="preserve">, а також враховує положення Повідомлення Європейської Комісії </w:t>
      </w:r>
      <w:r w:rsidR="00B82D71" w:rsidRPr="00B82D71">
        <w:rPr>
          <w:rFonts w:ascii="Times New Roman" w:hAnsi="Times New Roman"/>
          <w:kern w:val="28"/>
          <w:sz w:val="24"/>
          <w:szCs w:val="28"/>
          <w:lang w:eastAsia="ru-RU"/>
        </w:rPr>
        <w:t>в</w:t>
      </w:r>
      <w:r w:rsidR="00B82D71">
        <w:rPr>
          <w:rFonts w:ascii="Times New Roman" w:hAnsi="Times New Roman"/>
          <w:kern w:val="28"/>
          <w:sz w:val="24"/>
          <w:szCs w:val="28"/>
          <w:lang w:eastAsia="ru-RU"/>
        </w:rPr>
        <w:t xml:space="preserve">ід 02.07.2008 № </w:t>
      </w:r>
      <w:r w:rsidR="00B82D71" w:rsidRPr="00B82D71">
        <w:rPr>
          <w:rFonts w:ascii="Times New Roman" w:hAnsi="Times New Roman"/>
          <w:kern w:val="28"/>
          <w:sz w:val="24"/>
          <w:szCs w:val="28"/>
          <w:lang w:eastAsia="ru-RU"/>
        </w:rPr>
        <w:t>2008/C167/01</w:t>
      </w:r>
      <w:r w:rsidR="00B82D71">
        <w:rPr>
          <w:rFonts w:ascii="Times New Roman" w:hAnsi="Times New Roman"/>
          <w:kern w:val="28"/>
          <w:sz w:val="24"/>
          <w:szCs w:val="28"/>
          <w:lang w:eastAsia="ru-RU"/>
        </w:rPr>
        <w:t xml:space="preserve"> щодо застосування процедури врегулювання.</w:t>
      </w:r>
    </w:p>
    <w:p w14:paraId="63854B04" w14:textId="77777777" w:rsidR="004C417A" w:rsidRDefault="004C417A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  <w:lang w:eastAsia="ru-RU"/>
        </w:rPr>
      </w:pPr>
      <w:r w:rsidRPr="004C417A">
        <w:rPr>
          <w:rFonts w:ascii="Times New Roman" w:hAnsi="Times New Roman"/>
          <w:kern w:val="28"/>
          <w:sz w:val="24"/>
          <w:szCs w:val="28"/>
          <w:lang w:eastAsia="ru-RU"/>
        </w:rPr>
        <w:t xml:space="preserve">Водночас у </w:t>
      </w:r>
      <w:proofErr w:type="spellStart"/>
      <w:r w:rsidRPr="004C417A">
        <w:rPr>
          <w:rFonts w:ascii="Times New Roman" w:hAnsi="Times New Roman"/>
          <w:kern w:val="28"/>
          <w:sz w:val="24"/>
          <w:szCs w:val="28"/>
          <w:lang w:eastAsia="ru-RU"/>
        </w:rPr>
        <w:t>проєкті</w:t>
      </w:r>
      <w:proofErr w:type="spellEnd"/>
      <w:r w:rsidRPr="004C417A">
        <w:rPr>
          <w:rFonts w:ascii="Times New Roman" w:hAnsi="Times New Roman"/>
          <w:kern w:val="28"/>
          <w:sz w:val="24"/>
          <w:szCs w:val="28"/>
          <w:lang w:eastAsia="ru-RU"/>
        </w:rPr>
        <w:t xml:space="preserve"> </w:t>
      </w:r>
      <w:proofErr w:type="spellStart"/>
      <w:r w:rsidRPr="004C417A">
        <w:rPr>
          <w:rFonts w:ascii="Times New Roman" w:hAnsi="Times New Roman"/>
          <w:kern w:val="28"/>
          <w:sz w:val="24"/>
          <w:szCs w:val="28"/>
          <w:lang w:eastAsia="ru-RU"/>
        </w:rPr>
        <w:t>акта</w:t>
      </w:r>
      <w:proofErr w:type="spellEnd"/>
      <w:r w:rsidRPr="004C417A">
        <w:rPr>
          <w:rFonts w:ascii="Times New Roman" w:hAnsi="Times New Roman"/>
          <w:kern w:val="28"/>
          <w:sz w:val="24"/>
          <w:szCs w:val="28"/>
          <w:lang w:eastAsia="ru-RU"/>
        </w:rPr>
        <w:t xml:space="preserve"> відсутні положення, що: </w:t>
      </w:r>
    </w:p>
    <w:p w14:paraId="70DFA439" w14:textId="77777777" w:rsidR="004C417A" w:rsidRDefault="004C417A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  <w:lang w:eastAsia="ru-RU"/>
        </w:rPr>
      </w:pPr>
      <w:r w:rsidRPr="004C417A">
        <w:rPr>
          <w:rFonts w:ascii="Times New Roman" w:hAnsi="Times New Roman"/>
          <w:kern w:val="28"/>
          <w:sz w:val="24"/>
          <w:szCs w:val="28"/>
          <w:lang w:eastAsia="ru-RU"/>
        </w:rPr>
        <w:t xml:space="preserve">стосуються прав та свобод, гарантованих Конвенцією про захист прав людини і основоположних свобод; </w:t>
      </w:r>
    </w:p>
    <w:p w14:paraId="3B056F95" w14:textId="77777777" w:rsidR="004C417A" w:rsidRDefault="004C417A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  <w:lang w:eastAsia="ru-RU"/>
        </w:rPr>
      </w:pPr>
      <w:r w:rsidRPr="004C417A">
        <w:rPr>
          <w:rFonts w:ascii="Times New Roman" w:hAnsi="Times New Roman"/>
          <w:kern w:val="28"/>
          <w:sz w:val="24"/>
          <w:szCs w:val="28"/>
          <w:lang w:eastAsia="ru-RU"/>
        </w:rPr>
        <w:lastRenderedPageBreak/>
        <w:t xml:space="preserve">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із корупцією; </w:t>
      </w:r>
    </w:p>
    <w:p w14:paraId="0537F289" w14:textId="4EAC1744" w:rsidR="004C417A" w:rsidRPr="00333B40" w:rsidRDefault="004C417A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  <w:lang w:eastAsia="ru-RU"/>
        </w:rPr>
      </w:pPr>
      <w:r w:rsidRPr="004C417A">
        <w:rPr>
          <w:rFonts w:ascii="Times New Roman" w:hAnsi="Times New Roman"/>
          <w:kern w:val="28"/>
          <w:sz w:val="24"/>
          <w:szCs w:val="28"/>
          <w:lang w:eastAsia="ru-RU"/>
        </w:rPr>
        <w:t>створюють підстави для дискримінації.</w:t>
      </w:r>
    </w:p>
    <w:p w14:paraId="16D1419F" w14:textId="3C1A416F" w:rsidR="005F1169" w:rsidRPr="00333B40" w:rsidRDefault="005F1169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  <w:lang w:eastAsia="ru-RU"/>
        </w:rPr>
      </w:pPr>
      <w:proofErr w:type="spellStart"/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>Проєкт</w:t>
      </w:r>
      <w:proofErr w:type="spellEnd"/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 xml:space="preserve"> </w:t>
      </w:r>
      <w:proofErr w:type="spellStart"/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>акта</w:t>
      </w:r>
      <w:proofErr w:type="spellEnd"/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 xml:space="preserve"> буде надіслано до Національного агентства з питань запобігання корупції </w:t>
      </w:r>
      <w:r w:rsidR="00AD0EED" w:rsidRPr="00333B40">
        <w:rPr>
          <w:rFonts w:ascii="Times New Roman" w:hAnsi="Times New Roman"/>
          <w:kern w:val="28"/>
          <w:sz w:val="24"/>
          <w:szCs w:val="28"/>
          <w:lang w:eastAsia="ru-RU"/>
        </w:rPr>
        <w:t>для визначення необхідності проведення антикорупційної експертизи</w:t>
      </w:r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>.</w:t>
      </w:r>
    </w:p>
    <w:p w14:paraId="2B15C7E6" w14:textId="453C016C" w:rsidR="006F7FF7" w:rsidRDefault="006F7FF7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  <w:lang w:eastAsia="ru-RU"/>
        </w:rPr>
      </w:pPr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>Громадська антикорупційна,</w:t>
      </w:r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ab/>
        <w:t xml:space="preserve">громадська </w:t>
      </w:r>
      <w:proofErr w:type="spellStart"/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>антидискримінаційна</w:t>
      </w:r>
      <w:proofErr w:type="spellEnd"/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ab/>
        <w:t xml:space="preserve">та громадська </w:t>
      </w:r>
      <w:proofErr w:type="spellStart"/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>гендерно</w:t>
      </w:r>
      <w:proofErr w:type="spellEnd"/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 xml:space="preserve">-правова експертизи </w:t>
      </w:r>
      <w:proofErr w:type="spellStart"/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>проєкту</w:t>
      </w:r>
      <w:proofErr w:type="spellEnd"/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 xml:space="preserve"> </w:t>
      </w:r>
      <w:r w:rsidR="00341F01">
        <w:rPr>
          <w:rFonts w:ascii="Times New Roman" w:hAnsi="Times New Roman"/>
          <w:kern w:val="28"/>
          <w:sz w:val="24"/>
          <w:szCs w:val="28"/>
          <w:lang w:eastAsia="ru-RU"/>
        </w:rPr>
        <w:t>розпорядження</w:t>
      </w:r>
      <w:r w:rsidRPr="00333B40">
        <w:rPr>
          <w:rFonts w:ascii="Times New Roman" w:hAnsi="Times New Roman"/>
          <w:kern w:val="28"/>
          <w:sz w:val="24"/>
          <w:szCs w:val="28"/>
          <w:lang w:eastAsia="ru-RU"/>
        </w:rPr>
        <w:t xml:space="preserve"> не проводилися.</w:t>
      </w:r>
    </w:p>
    <w:p w14:paraId="2A0F5DC2" w14:textId="77777777" w:rsidR="00207DC9" w:rsidRPr="00333B40" w:rsidRDefault="00207DC9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8"/>
          <w:lang w:eastAsia="ru-RU"/>
        </w:rPr>
      </w:pPr>
    </w:p>
    <w:p w14:paraId="569666E6" w14:textId="77777777" w:rsidR="00F16CB7" w:rsidRPr="00333B40" w:rsidRDefault="00F16CB7" w:rsidP="000C0B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</w:pPr>
      <w:r w:rsidRPr="00333B40">
        <w:rPr>
          <w:rFonts w:ascii="Times New Roman" w:hAnsi="Times New Roman"/>
          <w:b/>
          <w:bCs/>
          <w:kern w:val="28"/>
          <w:sz w:val="24"/>
          <w:szCs w:val="28"/>
          <w:lang w:eastAsia="ru-RU"/>
        </w:rPr>
        <w:t>Прогноз результатів</w:t>
      </w:r>
    </w:p>
    <w:p w14:paraId="20A53824" w14:textId="00CB2F82" w:rsidR="00F16CB7" w:rsidRPr="00763030" w:rsidRDefault="005304E0" w:rsidP="000C0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kern w:val="28"/>
          <w:sz w:val="24"/>
          <w:szCs w:val="28"/>
          <w:lang w:eastAsia="ru-RU"/>
        </w:rPr>
      </w:pPr>
      <w:r w:rsidRPr="00E45BDA">
        <w:rPr>
          <w:rFonts w:ascii="Times New Roman" w:hAnsi="Times New Roman"/>
          <w:bCs/>
          <w:kern w:val="28"/>
          <w:sz w:val="24"/>
          <w:szCs w:val="28"/>
          <w:lang w:eastAsia="ru-RU"/>
        </w:rPr>
        <w:t>Реалізація</w:t>
      </w:r>
      <w:r w:rsidR="006F7FF7" w:rsidRPr="00E45BD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</w:t>
      </w:r>
      <w:proofErr w:type="spellStart"/>
      <w:r w:rsidRPr="00E45BDA">
        <w:rPr>
          <w:rFonts w:ascii="Times New Roman" w:hAnsi="Times New Roman"/>
          <w:bCs/>
          <w:kern w:val="28"/>
          <w:sz w:val="24"/>
          <w:szCs w:val="28"/>
          <w:lang w:eastAsia="ru-RU"/>
        </w:rPr>
        <w:t>проєкту</w:t>
      </w:r>
      <w:proofErr w:type="spellEnd"/>
      <w:r w:rsidR="006F7FF7" w:rsidRPr="00E45BD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</w:t>
      </w:r>
      <w:r w:rsidR="00341F01" w:rsidRPr="00E45BDA">
        <w:rPr>
          <w:rFonts w:ascii="Times New Roman" w:hAnsi="Times New Roman"/>
          <w:bCs/>
          <w:kern w:val="28"/>
          <w:sz w:val="24"/>
          <w:szCs w:val="28"/>
          <w:lang w:eastAsia="ru-RU"/>
        </w:rPr>
        <w:t>розпорядження</w:t>
      </w:r>
      <w:r w:rsidR="006F7FF7" w:rsidRPr="00E45BD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</w:t>
      </w:r>
      <w:r w:rsidR="000553EB" w:rsidRPr="00E45BDA">
        <w:rPr>
          <w:rFonts w:ascii="Times New Roman" w:hAnsi="Times New Roman"/>
          <w:bCs/>
          <w:kern w:val="28"/>
          <w:sz w:val="24"/>
          <w:szCs w:val="28"/>
          <w:lang w:eastAsia="ru-RU"/>
        </w:rPr>
        <w:t>дозволить</w:t>
      </w:r>
      <w:r w:rsidR="00E45BDA" w:rsidRPr="00E45BD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впровадити процедуру врегулювання у справах, що сприятиме </w:t>
      </w:r>
      <w:r w:rsidR="00E45BDA" w:rsidRPr="00E45BDA">
        <w:rPr>
          <w:rFonts w:ascii="Times New Roman" w:hAnsi="Times New Roman"/>
          <w:kern w:val="28"/>
          <w:sz w:val="24"/>
          <w:szCs w:val="28"/>
        </w:rPr>
        <w:t xml:space="preserve">прискоренню розслідувань порушень </w:t>
      </w:r>
      <w:r w:rsidR="000553EB" w:rsidRPr="00E45BD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та узгодить </w:t>
      </w:r>
      <w:r w:rsidR="00E45BDA" w:rsidRPr="00E45BDA">
        <w:rPr>
          <w:rFonts w:ascii="Times New Roman" w:hAnsi="Times New Roman"/>
          <w:kern w:val="28"/>
          <w:sz w:val="24"/>
          <w:szCs w:val="28"/>
        </w:rPr>
        <w:t>законодавство про захист економічної конкуренції</w:t>
      </w:r>
      <w:r w:rsidR="00E45BDA" w:rsidRPr="00E45BDA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 </w:t>
      </w:r>
      <w:r w:rsidR="000553EB" w:rsidRPr="00E45BDA">
        <w:rPr>
          <w:rFonts w:ascii="Times New Roman" w:hAnsi="Times New Roman"/>
          <w:bCs/>
          <w:kern w:val="28"/>
          <w:sz w:val="24"/>
          <w:szCs w:val="28"/>
          <w:lang w:eastAsia="ru-RU"/>
        </w:rPr>
        <w:t>із законодавством Європейського Союзу</w:t>
      </w:r>
      <w:r w:rsidRPr="00E45BDA">
        <w:rPr>
          <w:rFonts w:ascii="Times New Roman" w:hAnsi="Times New Roman"/>
          <w:bCs/>
          <w:kern w:val="28"/>
          <w:sz w:val="24"/>
          <w:szCs w:val="28"/>
          <w:lang w:eastAsia="ru-RU"/>
        </w:rPr>
        <w:t>.</w:t>
      </w:r>
    </w:p>
    <w:p w14:paraId="55AA956F" w14:textId="77777777" w:rsidR="004C417A" w:rsidRDefault="004C417A" w:rsidP="004C417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4"/>
          <w:szCs w:val="28"/>
        </w:rPr>
      </w:pPr>
      <w:r w:rsidRPr="004C417A">
        <w:rPr>
          <w:rFonts w:ascii="Times New Roman" w:hAnsi="Times New Roman"/>
          <w:kern w:val="28"/>
          <w:sz w:val="24"/>
          <w:szCs w:val="28"/>
        </w:rPr>
        <w:t xml:space="preserve">Інформація у вигляді таблиці за запропонованою формою щодо впливу на інтереси заінтересованих сторін надається в додатку до пояснювальної записки. </w:t>
      </w:r>
    </w:p>
    <w:p w14:paraId="31DC548B" w14:textId="77777777" w:rsidR="004C417A" w:rsidRDefault="004C417A" w:rsidP="000C0BA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8"/>
        </w:rPr>
      </w:pPr>
    </w:p>
    <w:p w14:paraId="004D9A77" w14:textId="4523FB4C" w:rsidR="004C417A" w:rsidRPr="004C417A" w:rsidRDefault="004C417A" w:rsidP="000C0BA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8"/>
        </w:rPr>
      </w:pPr>
      <w:r w:rsidRPr="004C417A">
        <w:rPr>
          <w:rFonts w:ascii="Times New Roman" w:hAnsi="Times New Roman"/>
          <w:kern w:val="28"/>
          <w:sz w:val="24"/>
          <w:szCs w:val="28"/>
        </w:rPr>
        <w:t xml:space="preserve">Додаток: на </w:t>
      </w:r>
      <w:r w:rsidR="000553EB">
        <w:rPr>
          <w:rFonts w:ascii="Times New Roman" w:hAnsi="Times New Roman"/>
          <w:kern w:val="28"/>
          <w:sz w:val="24"/>
          <w:szCs w:val="28"/>
        </w:rPr>
        <w:t>1</w:t>
      </w:r>
      <w:r w:rsidRPr="004C417A">
        <w:rPr>
          <w:rFonts w:ascii="Times New Roman" w:hAnsi="Times New Roman"/>
          <w:kern w:val="28"/>
          <w:sz w:val="24"/>
          <w:szCs w:val="28"/>
        </w:rPr>
        <w:t xml:space="preserve"> </w:t>
      </w:r>
      <w:proofErr w:type="spellStart"/>
      <w:r w:rsidRPr="004C417A">
        <w:rPr>
          <w:rFonts w:ascii="Times New Roman" w:hAnsi="Times New Roman"/>
          <w:kern w:val="28"/>
          <w:sz w:val="24"/>
          <w:szCs w:val="28"/>
        </w:rPr>
        <w:t>арк</w:t>
      </w:r>
      <w:proofErr w:type="spellEnd"/>
      <w:r w:rsidRPr="004C417A">
        <w:rPr>
          <w:rFonts w:ascii="Times New Roman" w:hAnsi="Times New Roman"/>
          <w:kern w:val="28"/>
          <w:sz w:val="24"/>
          <w:szCs w:val="28"/>
        </w:rPr>
        <w:t>. в 1 прим</w:t>
      </w:r>
      <w:r w:rsidR="00F77F55">
        <w:rPr>
          <w:rFonts w:ascii="Times New Roman" w:hAnsi="Times New Roman"/>
          <w:kern w:val="28"/>
          <w:sz w:val="24"/>
          <w:szCs w:val="28"/>
        </w:rPr>
        <w:t>.</w:t>
      </w:r>
    </w:p>
    <w:p w14:paraId="07F91F5C" w14:textId="17FAA468" w:rsidR="007B4112" w:rsidRDefault="007B4112" w:rsidP="000C0BA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kern w:val="28"/>
          <w:sz w:val="24"/>
          <w:szCs w:val="28"/>
        </w:rPr>
      </w:pPr>
    </w:p>
    <w:p w14:paraId="0581F9A9" w14:textId="77777777" w:rsidR="004C417A" w:rsidRPr="00763030" w:rsidRDefault="004C417A" w:rsidP="000C0BA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kern w:val="28"/>
          <w:sz w:val="24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27"/>
      </w:tblGrid>
      <w:tr w:rsidR="007B4112" w:rsidRPr="00763030" w14:paraId="08EDBC1E" w14:textId="77777777" w:rsidTr="004C417A">
        <w:tc>
          <w:tcPr>
            <w:tcW w:w="5353" w:type="dxa"/>
          </w:tcPr>
          <w:p w14:paraId="7B34C716" w14:textId="77777777" w:rsidR="007B4112" w:rsidRPr="00763030" w:rsidRDefault="007B4112" w:rsidP="000C0BA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763030">
              <w:rPr>
                <w:rFonts w:ascii="Times New Roman" w:hAnsi="Times New Roman"/>
                <w:b/>
                <w:sz w:val="24"/>
              </w:rPr>
              <w:t>Голова</w:t>
            </w:r>
            <w:r w:rsidRPr="00763030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763030">
              <w:rPr>
                <w:rFonts w:ascii="Times New Roman" w:hAnsi="Times New Roman"/>
                <w:b/>
                <w:sz w:val="24"/>
              </w:rPr>
              <w:t>Антимонопольного</w:t>
            </w:r>
            <w:r w:rsidRPr="00763030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763030">
              <w:rPr>
                <w:rFonts w:ascii="Times New Roman" w:hAnsi="Times New Roman"/>
                <w:b/>
                <w:sz w:val="24"/>
              </w:rPr>
              <w:t>комітету України</w:t>
            </w:r>
          </w:p>
        </w:tc>
        <w:tc>
          <w:tcPr>
            <w:tcW w:w="4427" w:type="dxa"/>
          </w:tcPr>
          <w:p w14:paraId="32C69FD0" w14:textId="6F3FD888" w:rsidR="007B4112" w:rsidRPr="00763030" w:rsidRDefault="007B4112" w:rsidP="000C0BA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763030">
              <w:rPr>
                <w:rFonts w:ascii="Times New Roman" w:hAnsi="Times New Roman"/>
                <w:b/>
                <w:sz w:val="24"/>
              </w:rPr>
              <w:t xml:space="preserve">                               </w:t>
            </w:r>
            <w:r w:rsidR="00894A39">
              <w:rPr>
                <w:rFonts w:ascii="Times New Roman" w:hAnsi="Times New Roman"/>
                <w:b/>
                <w:sz w:val="24"/>
              </w:rPr>
              <w:t>Павло</w:t>
            </w:r>
            <w:r w:rsidRPr="00763030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="00894A39">
              <w:rPr>
                <w:rFonts w:ascii="Times New Roman" w:hAnsi="Times New Roman"/>
                <w:b/>
                <w:sz w:val="24"/>
              </w:rPr>
              <w:t>КИРИЛЕНКО</w:t>
            </w:r>
          </w:p>
        </w:tc>
      </w:tr>
    </w:tbl>
    <w:p w14:paraId="23567E4D" w14:textId="77777777" w:rsidR="007B4112" w:rsidRPr="00763030" w:rsidRDefault="007B4112" w:rsidP="000C0BA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10"/>
        </w:rPr>
      </w:pPr>
    </w:p>
    <w:p w14:paraId="48381AAD" w14:textId="13AECCD8" w:rsidR="00682CEC" w:rsidRDefault="00F16CB7" w:rsidP="000C0BA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8"/>
        </w:rPr>
      </w:pPr>
      <w:r w:rsidRPr="00763030">
        <w:rPr>
          <w:rFonts w:ascii="Times New Roman" w:hAnsi="Times New Roman"/>
          <w:kern w:val="28"/>
          <w:sz w:val="24"/>
          <w:szCs w:val="28"/>
        </w:rPr>
        <w:t>____ ____________ 202</w:t>
      </w:r>
      <w:r w:rsidR="007B4112" w:rsidRPr="00763030">
        <w:rPr>
          <w:rFonts w:ascii="Times New Roman" w:hAnsi="Times New Roman"/>
          <w:kern w:val="28"/>
          <w:sz w:val="24"/>
          <w:szCs w:val="28"/>
        </w:rPr>
        <w:t>3</w:t>
      </w:r>
      <w:r w:rsidRPr="00763030">
        <w:rPr>
          <w:rFonts w:ascii="Times New Roman" w:hAnsi="Times New Roman"/>
          <w:kern w:val="28"/>
          <w:sz w:val="24"/>
          <w:szCs w:val="28"/>
        </w:rPr>
        <w:t xml:space="preserve"> р.</w:t>
      </w:r>
    </w:p>
    <w:p w14:paraId="33F54420" w14:textId="6343484E" w:rsidR="00853B21" w:rsidRDefault="00853B21" w:rsidP="000C0BA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8"/>
        </w:rPr>
      </w:pPr>
    </w:p>
    <w:p w14:paraId="004959A7" w14:textId="1900FAC4" w:rsidR="00853B21" w:rsidRDefault="00853B21" w:rsidP="000C0BA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8"/>
        </w:rPr>
      </w:pPr>
    </w:p>
    <w:p w14:paraId="0BAF6356" w14:textId="77777777" w:rsidR="00853B21" w:rsidRPr="00763030" w:rsidRDefault="00853B21" w:rsidP="00853B2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8"/>
        </w:rPr>
      </w:pPr>
    </w:p>
    <w:sectPr w:rsidR="00853B21" w:rsidRPr="00763030" w:rsidSect="006414E6">
      <w:headerReference w:type="default" r:id="rId8"/>
      <w:pgSz w:w="11906" w:h="16838" w:code="9"/>
      <w:pgMar w:top="851" w:right="567" w:bottom="1843" w:left="567" w:header="567" w:footer="1417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22C10" w14:textId="77777777" w:rsidR="008272E9" w:rsidRDefault="008272E9">
      <w:pPr>
        <w:spacing w:after="0" w:line="240" w:lineRule="auto"/>
      </w:pPr>
      <w:r>
        <w:separator/>
      </w:r>
    </w:p>
  </w:endnote>
  <w:endnote w:type="continuationSeparator" w:id="0">
    <w:p w14:paraId="09D6222C" w14:textId="77777777" w:rsidR="008272E9" w:rsidRDefault="0082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85C4F" w14:textId="77777777" w:rsidR="008272E9" w:rsidRDefault="008272E9">
      <w:pPr>
        <w:spacing w:after="0" w:line="240" w:lineRule="auto"/>
      </w:pPr>
      <w:r>
        <w:separator/>
      </w:r>
    </w:p>
  </w:footnote>
  <w:footnote w:type="continuationSeparator" w:id="0">
    <w:p w14:paraId="12D6494B" w14:textId="77777777" w:rsidR="008272E9" w:rsidRDefault="0082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C535" w14:textId="77777777" w:rsidR="00682CEC" w:rsidRDefault="00682C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0BD8" w:rsidRPr="00ED0BD8">
      <w:rPr>
        <w:noProof/>
        <w:lang w:val="uk-UA"/>
      </w:rPr>
      <w:t>2</w:t>
    </w:r>
    <w:r>
      <w:fldChar w:fldCharType="end"/>
    </w:r>
  </w:p>
  <w:p w14:paraId="61D64829" w14:textId="77777777" w:rsidR="00682CEC" w:rsidRDefault="00682C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43D28"/>
    <w:multiLevelType w:val="hybridMultilevel"/>
    <w:tmpl w:val="C14E5BF6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403316D7"/>
    <w:multiLevelType w:val="multilevel"/>
    <w:tmpl w:val="6EFE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40C34B66"/>
    <w:multiLevelType w:val="hybridMultilevel"/>
    <w:tmpl w:val="921A7332"/>
    <w:lvl w:ilvl="0" w:tplc="6A360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2718C"/>
    <w:multiLevelType w:val="hybridMultilevel"/>
    <w:tmpl w:val="9F5ADBD2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50BD391F"/>
    <w:multiLevelType w:val="hybridMultilevel"/>
    <w:tmpl w:val="1BEA45B6"/>
    <w:lvl w:ilvl="0" w:tplc="6A36042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381455"/>
    <w:multiLevelType w:val="hybridMultilevel"/>
    <w:tmpl w:val="4294A97E"/>
    <w:lvl w:ilvl="0" w:tplc="75BAC71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D5466"/>
    <w:multiLevelType w:val="hybridMultilevel"/>
    <w:tmpl w:val="25381ED4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789B28B4"/>
    <w:multiLevelType w:val="hybridMultilevel"/>
    <w:tmpl w:val="B6E62B28"/>
    <w:lvl w:ilvl="0" w:tplc="A7501DB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58"/>
    <w:rsid w:val="00001733"/>
    <w:rsid w:val="00023484"/>
    <w:rsid w:val="000553EB"/>
    <w:rsid w:val="0007682F"/>
    <w:rsid w:val="00080C38"/>
    <w:rsid w:val="00087DF0"/>
    <w:rsid w:val="0009249D"/>
    <w:rsid w:val="000A0A02"/>
    <w:rsid w:val="000B08BC"/>
    <w:rsid w:val="000B49F5"/>
    <w:rsid w:val="000C0BAA"/>
    <w:rsid w:val="000D030B"/>
    <w:rsid w:val="000D298F"/>
    <w:rsid w:val="000E0C4B"/>
    <w:rsid w:val="000E68D2"/>
    <w:rsid w:val="000F0BC1"/>
    <w:rsid w:val="000F49DF"/>
    <w:rsid w:val="00105635"/>
    <w:rsid w:val="001060C1"/>
    <w:rsid w:val="00125E2E"/>
    <w:rsid w:val="001331B8"/>
    <w:rsid w:val="0013670D"/>
    <w:rsid w:val="001472A9"/>
    <w:rsid w:val="00151212"/>
    <w:rsid w:val="001522F2"/>
    <w:rsid w:val="001576C4"/>
    <w:rsid w:val="001601B1"/>
    <w:rsid w:val="001639CD"/>
    <w:rsid w:val="00165737"/>
    <w:rsid w:val="00192759"/>
    <w:rsid w:val="0019435B"/>
    <w:rsid w:val="001A2F9A"/>
    <w:rsid w:val="001A7733"/>
    <w:rsid w:val="001D6947"/>
    <w:rsid w:val="001E27EA"/>
    <w:rsid w:val="001F4058"/>
    <w:rsid w:val="002041B5"/>
    <w:rsid w:val="0020780F"/>
    <w:rsid w:val="00207DC9"/>
    <w:rsid w:val="00234D18"/>
    <w:rsid w:val="0025770B"/>
    <w:rsid w:val="002579F6"/>
    <w:rsid w:val="00270580"/>
    <w:rsid w:val="00273787"/>
    <w:rsid w:val="0027448E"/>
    <w:rsid w:val="00277895"/>
    <w:rsid w:val="00280669"/>
    <w:rsid w:val="00294EDE"/>
    <w:rsid w:val="002A25B4"/>
    <w:rsid w:val="002A3DC2"/>
    <w:rsid w:val="002A71E4"/>
    <w:rsid w:val="002B456E"/>
    <w:rsid w:val="002C6599"/>
    <w:rsid w:val="002C7E18"/>
    <w:rsid w:val="002D22ED"/>
    <w:rsid w:val="002D2BB8"/>
    <w:rsid w:val="002E00CB"/>
    <w:rsid w:val="002E5A5F"/>
    <w:rsid w:val="002F2A54"/>
    <w:rsid w:val="002F5E80"/>
    <w:rsid w:val="00320366"/>
    <w:rsid w:val="00320F3F"/>
    <w:rsid w:val="00323D01"/>
    <w:rsid w:val="003336F1"/>
    <w:rsid w:val="00333B40"/>
    <w:rsid w:val="00336FB0"/>
    <w:rsid w:val="00341F01"/>
    <w:rsid w:val="003452B8"/>
    <w:rsid w:val="00353D2A"/>
    <w:rsid w:val="003571DF"/>
    <w:rsid w:val="003613F6"/>
    <w:rsid w:val="00361A21"/>
    <w:rsid w:val="00380B9D"/>
    <w:rsid w:val="0038207D"/>
    <w:rsid w:val="00394DDD"/>
    <w:rsid w:val="003B65C8"/>
    <w:rsid w:val="003F497A"/>
    <w:rsid w:val="003F4A3C"/>
    <w:rsid w:val="00413643"/>
    <w:rsid w:val="00425C98"/>
    <w:rsid w:val="00436598"/>
    <w:rsid w:val="00437677"/>
    <w:rsid w:val="0044097B"/>
    <w:rsid w:val="00441B15"/>
    <w:rsid w:val="004608D1"/>
    <w:rsid w:val="00471610"/>
    <w:rsid w:val="00476960"/>
    <w:rsid w:val="00495904"/>
    <w:rsid w:val="004A399D"/>
    <w:rsid w:val="004B2FCE"/>
    <w:rsid w:val="004C417A"/>
    <w:rsid w:val="004E1543"/>
    <w:rsid w:val="004E2A02"/>
    <w:rsid w:val="004E617D"/>
    <w:rsid w:val="004F24AC"/>
    <w:rsid w:val="004F4920"/>
    <w:rsid w:val="004F6C4E"/>
    <w:rsid w:val="00500EFB"/>
    <w:rsid w:val="00517480"/>
    <w:rsid w:val="0052632D"/>
    <w:rsid w:val="005265BC"/>
    <w:rsid w:val="005304E0"/>
    <w:rsid w:val="00533D55"/>
    <w:rsid w:val="005378FD"/>
    <w:rsid w:val="00543104"/>
    <w:rsid w:val="00556B2A"/>
    <w:rsid w:val="005606B1"/>
    <w:rsid w:val="00563D12"/>
    <w:rsid w:val="0056552B"/>
    <w:rsid w:val="005777E1"/>
    <w:rsid w:val="005815FC"/>
    <w:rsid w:val="00583B94"/>
    <w:rsid w:val="005A01D5"/>
    <w:rsid w:val="005A345F"/>
    <w:rsid w:val="005B60F4"/>
    <w:rsid w:val="005B704C"/>
    <w:rsid w:val="005C2381"/>
    <w:rsid w:val="005D080C"/>
    <w:rsid w:val="005D09B3"/>
    <w:rsid w:val="005D12D9"/>
    <w:rsid w:val="005F1169"/>
    <w:rsid w:val="00602714"/>
    <w:rsid w:val="00622720"/>
    <w:rsid w:val="00625C04"/>
    <w:rsid w:val="00631498"/>
    <w:rsid w:val="00631FE9"/>
    <w:rsid w:val="006414E6"/>
    <w:rsid w:val="00645A0E"/>
    <w:rsid w:val="00667510"/>
    <w:rsid w:val="00672599"/>
    <w:rsid w:val="00682CEC"/>
    <w:rsid w:val="00684A36"/>
    <w:rsid w:val="00685623"/>
    <w:rsid w:val="006A5056"/>
    <w:rsid w:val="006C37DE"/>
    <w:rsid w:val="006C6930"/>
    <w:rsid w:val="006D1E20"/>
    <w:rsid w:val="006D54F1"/>
    <w:rsid w:val="006E16E1"/>
    <w:rsid w:val="006E7034"/>
    <w:rsid w:val="006E77D5"/>
    <w:rsid w:val="006F75DF"/>
    <w:rsid w:val="006F7FF7"/>
    <w:rsid w:val="007124C7"/>
    <w:rsid w:val="007154F3"/>
    <w:rsid w:val="0074236D"/>
    <w:rsid w:val="00742C7D"/>
    <w:rsid w:val="00752F90"/>
    <w:rsid w:val="007622E5"/>
    <w:rsid w:val="007629EA"/>
    <w:rsid w:val="00763030"/>
    <w:rsid w:val="00770E48"/>
    <w:rsid w:val="0077602C"/>
    <w:rsid w:val="0078059E"/>
    <w:rsid w:val="00780D5C"/>
    <w:rsid w:val="00787DB1"/>
    <w:rsid w:val="00793458"/>
    <w:rsid w:val="00795129"/>
    <w:rsid w:val="00797A4E"/>
    <w:rsid w:val="007B4112"/>
    <w:rsid w:val="007C64EA"/>
    <w:rsid w:val="007E109A"/>
    <w:rsid w:val="007E5528"/>
    <w:rsid w:val="00805482"/>
    <w:rsid w:val="008272E9"/>
    <w:rsid w:val="00833B47"/>
    <w:rsid w:val="0083597C"/>
    <w:rsid w:val="00841A70"/>
    <w:rsid w:val="00842FFB"/>
    <w:rsid w:val="0084388A"/>
    <w:rsid w:val="008452F3"/>
    <w:rsid w:val="0084671B"/>
    <w:rsid w:val="0085250D"/>
    <w:rsid w:val="00853B21"/>
    <w:rsid w:val="00884F55"/>
    <w:rsid w:val="00885FE3"/>
    <w:rsid w:val="00894A39"/>
    <w:rsid w:val="008A0E78"/>
    <w:rsid w:val="008A11F5"/>
    <w:rsid w:val="008A3299"/>
    <w:rsid w:val="008B58F0"/>
    <w:rsid w:val="008B62D6"/>
    <w:rsid w:val="008B700A"/>
    <w:rsid w:val="008C05B7"/>
    <w:rsid w:val="008C2226"/>
    <w:rsid w:val="008D42B8"/>
    <w:rsid w:val="008D4DBE"/>
    <w:rsid w:val="008F1033"/>
    <w:rsid w:val="00913ABE"/>
    <w:rsid w:val="009166D8"/>
    <w:rsid w:val="009171A7"/>
    <w:rsid w:val="009326CA"/>
    <w:rsid w:val="009347D1"/>
    <w:rsid w:val="00941576"/>
    <w:rsid w:val="00942172"/>
    <w:rsid w:val="009452B7"/>
    <w:rsid w:val="0095003F"/>
    <w:rsid w:val="00952D78"/>
    <w:rsid w:val="009576C1"/>
    <w:rsid w:val="00971847"/>
    <w:rsid w:val="00971969"/>
    <w:rsid w:val="009743E3"/>
    <w:rsid w:val="009A124B"/>
    <w:rsid w:val="009A423D"/>
    <w:rsid w:val="009B0557"/>
    <w:rsid w:val="009B3758"/>
    <w:rsid w:val="009C396D"/>
    <w:rsid w:val="009D5D9E"/>
    <w:rsid w:val="009F1048"/>
    <w:rsid w:val="009F6FD2"/>
    <w:rsid w:val="00A027A7"/>
    <w:rsid w:val="00A17567"/>
    <w:rsid w:val="00A312BF"/>
    <w:rsid w:val="00A31C05"/>
    <w:rsid w:val="00A439CE"/>
    <w:rsid w:val="00A44D9D"/>
    <w:rsid w:val="00A569BC"/>
    <w:rsid w:val="00A73837"/>
    <w:rsid w:val="00A81656"/>
    <w:rsid w:val="00A81BBF"/>
    <w:rsid w:val="00A97BC8"/>
    <w:rsid w:val="00AA29C7"/>
    <w:rsid w:val="00AA40ED"/>
    <w:rsid w:val="00AA7882"/>
    <w:rsid w:val="00AB5E60"/>
    <w:rsid w:val="00AD0EED"/>
    <w:rsid w:val="00AD4EB4"/>
    <w:rsid w:val="00AE1246"/>
    <w:rsid w:val="00AE354A"/>
    <w:rsid w:val="00B132F4"/>
    <w:rsid w:val="00B2014C"/>
    <w:rsid w:val="00B21A95"/>
    <w:rsid w:val="00B476BC"/>
    <w:rsid w:val="00B52EC3"/>
    <w:rsid w:val="00B56384"/>
    <w:rsid w:val="00B6100D"/>
    <w:rsid w:val="00B65519"/>
    <w:rsid w:val="00B659CD"/>
    <w:rsid w:val="00B70479"/>
    <w:rsid w:val="00B82D71"/>
    <w:rsid w:val="00B85D3F"/>
    <w:rsid w:val="00B85DCD"/>
    <w:rsid w:val="00B94F05"/>
    <w:rsid w:val="00BA3653"/>
    <w:rsid w:val="00BA38EF"/>
    <w:rsid w:val="00BA475D"/>
    <w:rsid w:val="00BB2518"/>
    <w:rsid w:val="00BC16AB"/>
    <w:rsid w:val="00BC1FDB"/>
    <w:rsid w:val="00BD2F14"/>
    <w:rsid w:val="00BF0405"/>
    <w:rsid w:val="00C15696"/>
    <w:rsid w:val="00C235E5"/>
    <w:rsid w:val="00C37D11"/>
    <w:rsid w:val="00C43C9C"/>
    <w:rsid w:val="00C50CDC"/>
    <w:rsid w:val="00C9468E"/>
    <w:rsid w:val="00CA414B"/>
    <w:rsid w:val="00CA4226"/>
    <w:rsid w:val="00CB0E80"/>
    <w:rsid w:val="00CB5B4A"/>
    <w:rsid w:val="00CB644B"/>
    <w:rsid w:val="00CB7212"/>
    <w:rsid w:val="00CD009A"/>
    <w:rsid w:val="00CE2F6A"/>
    <w:rsid w:val="00D025A4"/>
    <w:rsid w:val="00D06BE9"/>
    <w:rsid w:val="00D06ED9"/>
    <w:rsid w:val="00D24D91"/>
    <w:rsid w:val="00D25A8D"/>
    <w:rsid w:val="00D36277"/>
    <w:rsid w:val="00D51269"/>
    <w:rsid w:val="00D6125C"/>
    <w:rsid w:val="00D635C1"/>
    <w:rsid w:val="00D7131B"/>
    <w:rsid w:val="00D7352D"/>
    <w:rsid w:val="00D84477"/>
    <w:rsid w:val="00D84696"/>
    <w:rsid w:val="00D90A51"/>
    <w:rsid w:val="00D9100A"/>
    <w:rsid w:val="00D97105"/>
    <w:rsid w:val="00DB472A"/>
    <w:rsid w:val="00DB5260"/>
    <w:rsid w:val="00DC0B0F"/>
    <w:rsid w:val="00DC42A6"/>
    <w:rsid w:val="00DD356E"/>
    <w:rsid w:val="00DE0E96"/>
    <w:rsid w:val="00DE0FF7"/>
    <w:rsid w:val="00DE2015"/>
    <w:rsid w:val="00DF07C0"/>
    <w:rsid w:val="00DF42DE"/>
    <w:rsid w:val="00E12E58"/>
    <w:rsid w:val="00E14CDD"/>
    <w:rsid w:val="00E2160B"/>
    <w:rsid w:val="00E2460A"/>
    <w:rsid w:val="00E43546"/>
    <w:rsid w:val="00E45BDA"/>
    <w:rsid w:val="00E470F1"/>
    <w:rsid w:val="00E47DC1"/>
    <w:rsid w:val="00E511E1"/>
    <w:rsid w:val="00E615A7"/>
    <w:rsid w:val="00E73699"/>
    <w:rsid w:val="00E73FCE"/>
    <w:rsid w:val="00E75C8C"/>
    <w:rsid w:val="00E93BE9"/>
    <w:rsid w:val="00E94D50"/>
    <w:rsid w:val="00EA02C0"/>
    <w:rsid w:val="00EA3E8F"/>
    <w:rsid w:val="00EB41F2"/>
    <w:rsid w:val="00ED0BD8"/>
    <w:rsid w:val="00ED5F11"/>
    <w:rsid w:val="00EE0B39"/>
    <w:rsid w:val="00EF298D"/>
    <w:rsid w:val="00EF34EE"/>
    <w:rsid w:val="00F04651"/>
    <w:rsid w:val="00F16419"/>
    <w:rsid w:val="00F16CB7"/>
    <w:rsid w:val="00F33A85"/>
    <w:rsid w:val="00F36099"/>
    <w:rsid w:val="00F402C4"/>
    <w:rsid w:val="00F55CB2"/>
    <w:rsid w:val="00F7419B"/>
    <w:rsid w:val="00F77008"/>
    <w:rsid w:val="00F77F55"/>
    <w:rsid w:val="00F80FDA"/>
    <w:rsid w:val="00F816D2"/>
    <w:rsid w:val="00FB0D22"/>
    <w:rsid w:val="00FC39CA"/>
    <w:rsid w:val="00FC43F7"/>
    <w:rsid w:val="00FC767A"/>
    <w:rsid w:val="00FD7BFE"/>
    <w:rsid w:val="00FF0C45"/>
    <w:rsid w:val="00FF2A93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63E03"/>
  <w14:defaultImageDpi w14:val="0"/>
  <w15:docId w15:val="{3D1C3908-FBA7-4FEF-A7F9-9A231094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EB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7A7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027A7"/>
    <w:rPr>
      <w:rFonts w:ascii="Times New Roman" w:hAnsi="Times New Roman"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3DC2"/>
    <w:rPr>
      <w:rFonts w:ascii="Tahoma" w:hAnsi="Tahoma" w:cs="Times New Roman"/>
      <w:sz w:val="16"/>
      <w:lang w:val="x-none" w:eastAsia="en-US"/>
    </w:rPr>
  </w:style>
  <w:style w:type="paragraph" w:styleId="a7">
    <w:name w:val="List Paragraph"/>
    <w:basedOn w:val="a"/>
    <w:uiPriority w:val="99"/>
    <w:qFormat/>
    <w:rsid w:val="00FF0C45"/>
    <w:pPr>
      <w:ind w:left="720"/>
      <w:contextualSpacing/>
    </w:pPr>
  </w:style>
  <w:style w:type="character" w:customStyle="1" w:styleId="a8">
    <w:name w:val="Нижний колонтитул Знак"/>
    <w:basedOn w:val="a0"/>
    <w:link w:val="a9"/>
    <w:uiPriority w:val="99"/>
    <w:locked/>
    <w:rsid w:val="001522F2"/>
    <w:rPr>
      <w:rFonts w:cs="Times New Roman"/>
      <w:lang w:val="x-none" w:eastAsia="en-US"/>
    </w:rPr>
  </w:style>
  <w:style w:type="paragraph" w:styleId="a9">
    <w:name w:val="footer"/>
    <w:basedOn w:val="a"/>
    <w:link w:val="a8"/>
    <w:uiPriority w:val="99"/>
    <w:rsid w:val="001522F2"/>
    <w:pPr>
      <w:tabs>
        <w:tab w:val="center" w:pos="4819"/>
        <w:tab w:val="right" w:pos="9639"/>
      </w:tabs>
    </w:pPr>
  </w:style>
  <w:style w:type="character" w:customStyle="1" w:styleId="1">
    <w:name w:val="Нижній колонтитул Знак1"/>
    <w:basedOn w:val="a0"/>
    <w:uiPriority w:val="99"/>
    <w:semiHidden/>
    <w:rPr>
      <w:rFonts w:cs="Times New Roman"/>
      <w:sz w:val="22"/>
      <w:szCs w:val="22"/>
      <w:lang w:eastAsia="en-US"/>
    </w:rPr>
  </w:style>
  <w:style w:type="character" w:customStyle="1" w:styleId="114">
    <w:name w:val="Нижній колонтитул Знак114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13">
    <w:name w:val="Нижній колонтитул Знак113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12">
    <w:name w:val="Нижній колонтитул Знак112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11">
    <w:name w:val="Нижній колонтитул Знак111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10">
    <w:name w:val="Нижній колонтитул Знак110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9">
    <w:name w:val="Нижній колонтитул Знак19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8">
    <w:name w:val="Нижній колонтитул Знак18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7">
    <w:name w:val="Нижній колонтитул Знак17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6">
    <w:name w:val="Нижній колонтитул Знак16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5">
    <w:name w:val="Нижній колонтитул Знак15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4">
    <w:name w:val="Нижній колонтитул Знак14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3">
    <w:name w:val="Нижній колонтитул Знак13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2">
    <w:name w:val="Нижній колонтитул Знак12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character" w:customStyle="1" w:styleId="11">
    <w:name w:val="Нижній колонтитул Знак11"/>
    <w:basedOn w:val="a0"/>
    <w:uiPriority w:val="99"/>
    <w:semiHidden/>
    <w:rPr>
      <w:rFonts w:cs="Times New Roman"/>
      <w:sz w:val="22"/>
      <w:szCs w:val="22"/>
      <w:lang w:val="x-none" w:eastAsia="en-US"/>
    </w:rPr>
  </w:style>
  <w:style w:type="table" w:styleId="aa">
    <w:name w:val="Table Grid"/>
    <w:basedOn w:val="a1"/>
    <w:uiPriority w:val="39"/>
    <w:locked/>
    <w:rsid w:val="008B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B4112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B4112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583B9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3B9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3B94"/>
    <w:rPr>
      <w:rFonts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83B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83B94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D20E-41BD-4815-A9CF-9D40F19B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4770</Words>
  <Characters>2720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БАДИВА ВІРА СЕРГІЇВНА</dc:creator>
  <cp:keywords/>
  <dc:description/>
  <cp:lastModifiedBy>Шелест Тетяна В`ячеславівна</cp:lastModifiedBy>
  <cp:revision>11</cp:revision>
  <cp:lastPrinted>2023-09-18T08:33:00Z</cp:lastPrinted>
  <dcterms:created xsi:type="dcterms:W3CDTF">2023-10-18T06:43:00Z</dcterms:created>
  <dcterms:modified xsi:type="dcterms:W3CDTF">2023-10-19T06:17:00Z</dcterms:modified>
</cp:coreProperties>
</file>