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59" w:rsidRPr="00962439" w:rsidRDefault="006F44B6" w:rsidP="00521BEE">
      <w:pPr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534035" cy="7607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559" w:rsidRPr="00962439" w:rsidRDefault="00383559" w:rsidP="00521BEE">
      <w:pPr>
        <w:widowControl w:val="0"/>
        <w:jc w:val="center"/>
        <w:rPr>
          <w:b/>
        </w:rPr>
      </w:pPr>
      <w:r w:rsidRPr="00962439">
        <w:rPr>
          <w:b/>
          <w:lang w:val="ru-RU"/>
        </w:rPr>
        <w:t>АНТИМОНОПОЛЬНИЙ КОМІТЕТУКРАЇНИ</w:t>
      </w:r>
    </w:p>
    <w:p w:rsidR="00383559" w:rsidRPr="00962439" w:rsidRDefault="00383559" w:rsidP="00521BEE">
      <w:pPr>
        <w:widowControl w:val="0"/>
        <w:jc w:val="center"/>
        <w:rPr>
          <w:lang w:val="ru-RU"/>
        </w:rPr>
      </w:pPr>
    </w:p>
    <w:p w:rsidR="00383559" w:rsidRPr="00962439" w:rsidRDefault="00383559" w:rsidP="00521BEE">
      <w:pPr>
        <w:widowControl w:val="0"/>
        <w:jc w:val="center"/>
        <w:rPr>
          <w:b/>
        </w:rPr>
      </w:pPr>
      <w:r w:rsidRPr="00962439">
        <w:rPr>
          <w:b/>
          <w:lang w:val="ru-RU"/>
        </w:rPr>
        <w:t>ПОЛТАВСЬКЕ ОБЛАСНЕ ТЕРИТОРІАЛЬНЕ ВІДДІЛЕННЯ</w:t>
      </w:r>
    </w:p>
    <w:p w:rsidR="00383559" w:rsidRPr="00962439" w:rsidRDefault="00383559" w:rsidP="00521BEE">
      <w:pPr>
        <w:widowControl w:val="0"/>
        <w:jc w:val="center"/>
        <w:rPr>
          <w:lang w:val="ru-RU"/>
        </w:rPr>
      </w:pPr>
    </w:p>
    <w:p w:rsidR="00383559" w:rsidRPr="00962439" w:rsidRDefault="00383559" w:rsidP="00521BEE">
      <w:pPr>
        <w:widowControl w:val="0"/>
        <w:jc w:val="center"/>
        <w:rPr>
          <w:lang w:val="ru-RU"/>
        </w:rPr>
      </w:pPr>
      <w:r w:rsidRPr="00962439">
        <w:rPr>
          <w:lang w:val="ru-RU"/>
        </w:rPr>
        <w:t>РЕКОМЕНДАЦІЇ</w:t>
      </w:r>
    </w:p>
    <w:p w:rsidR="00383559" w:rsidRPr="00962439" w:rsidRDefault="00383559" w:rsidP="00521BEE">
      <w:pPr>
        <w:widowControl w:val="0"/>
        <w:jc w:val="center"/>
        <w:rPr>
          <w:lang w:val="ru-RU"/>
        </w:rPr>
      </w:pPr>
      <w:r w:rsidRPr="00962439">
        <w:rPr>
          <w:lang w:val="ru-RU"/>
        </w:rPr>
        <w:t>АДМІНІСТРАТИВНОЇ КОЛЕГІЇ</w:t>
      </w:r>
    </w:p>
    <w:p w:rsidR="00383559" w:rsidRPr="00962439" w:rsidRDefault="00383559" w:rsidP="00521BEE">
      <w:pPr>
        <w:widowControl w:val="0"/>
        <w:jc w:val="center"/>
        <w:rPr>
          <w:b/>
          <w:lang w:val="ru-RU"/>
        </w:rPr>
      </w:pPr>
    </w:p>
    <w:p w:rsidR="00383559" w:rsidRPr="00962439" w:rsidRDefault="00383559" w:rsidP="00521BEE">
      <w:pPr>
        <w:widowControl w:val="0"/>
        <w:jc w:val="center"/>
        <w:rPr>
          <w:b/>
        </w:rPr>
      </w:pPr>
      <w:r w:rsidRPr="00962439">
        <w:rPr>
          <w:b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962439">
          <w:rPr>
            <w:b/>
          </w:rPr>
          <w:t>1, м</w:t>
        </w:r>
      </w:smartTag>
      <w:r w:rsidRPr="00962439">
        <w:rPr>
          <w:b/>
        </w:rPr>
        <w:t>. Полтава, Полтавська область, 36000, тел./факс (0532) 56-39-77</w:t>
      </w:r>
    </w:p>
    <w:p w:rsidR="00383559" w:rsidRPr="00962439" w:rsidRDefault="00383559" w:rsidP="00521BEE">
      <w:pPr>
        <w:widowControl w:val="0"/>
        <w:jc w:val="center"/>
        <w:rPr>
          <w:b/>
          <w:lang w:val="en-GB"/>
        </w:rPr>
      </w:pPr>
      <w:r w:rsidRPr="00962439">
        <w:rPr>
          <w:b/>
          <w:lang w:val="en-US"/>
        </w:rPr>
        <w:t>e</w:t>
      </w:r>
      <w:r w:rsidRPr="00962439">
        <w:rPr>
          <w:b/>
          <w:lang w:val="en-GB"/>
        </w:rPr>
        <w:t>-</w:t>
      </w:r>
      <w:r w:rsidRPr="00962439">
        <w:rPr>
          <w:b/>
          <w:lang w:val="en-US"/>
        </w:rPr>
        <w:t>mail</w:t>
      </w:r>
      <w:r w:rsidRPr="00962439">
        <w:rPr>
          <w:b/>
          <w:lang w:val="en-GB"/>
        </w:rPr>
        <w:t xml:space="preserve">: </w:t>
      </w:r>
      <w:hyperlink r:id="rId10" w:history="1">
        <w:r w:rsidRPr="00962439">
          <w:rPr>
            <w:b/>
            <w:color w:val="0000FF"/>
            <w:u w:val="single"/>
            <w:lang w:val="en-US"/>
          </w:rPr>
          <w:t>pl</w:t>
        </w:r>
        <w:r w:rsidRPr="00962439">
          <w:rPr>
            <w:b/>
            <w:color w:val="0000FF"/>
            <w:u w:val="single"/>
            <w:lang w:val="en-GB"/>
          </w:rPr>
          <w:t>@</w:t>
        </w:r>
        <w:r w:rsidRPr="00962439">
          <w:rPr>
            <w:b/>
            <w:color w:val="0000FF"/>
            <w:u w:val="single"/>
            <w:lang w:val="en-US"/>
          </w:rPr>
          <w:t>amcu</w:t>
        </w:r>
        <w:r w:rsidRPr="00962439">
          <w:rPr>
            <w:b/>
            <w:color w:val="0000FF"/>
            <w:u w:val="single"/>
            <w:lang w:val="en-GB"/>
          </w:rPr>
          <w:t>.gov.</w:t>
        </w:r>
        <w:r w:rsidRPr="00962439">
          <w:rPr>
            <w:b/>
            <w:color w:val="0000FF"/>
            <w:u w:val="single"/>
            <w:lang w:val="en-US"/>
          </w:rPr>
          <w:t>ua</w:t>
        </w:r>
      </w:hyperlink>
      <w:r w:rsidRPr="00962439">
        <w:rPr>
          <w:b/>
          <w:color w:val="0000FF"/>
          <w:lang w:val="en-US"/>
        </w:rPr>
        <w:t xml:space="preserve"> </w:t>
      </w:r>
      <w:r w:rsidRPr="00962439">
        <w:rPr>
          <w:b/>
          <w:lang w:val="en-US"/>
        </w:rPr>
        <w:t>web</w:t>
      </w:r>
      <w:r w:rsidRPr="00962439">
        <w:rPr>
          <w:b/>
          <w:lang w:val="en-GB"/>
        </w:rPr>
        <w:t xml:space="preserve">: </w:t>
      </w:r>
      <w:hyperlink r:id="rId11" w:history="1">
        <w:r w:rsidRPr="00962439">
          <w:rPr>
            <w:b/>
            <w:color w:val="0000FF"/>
            <w:u w:val="single"/>
            <w:lang w:val="en-GB"/>
          </w:rPr>
          <w:t>http://www.amc.gov.ua/amku/control/poltava/uk/indekx</w:t>
        </w:r>
      </w:hyperlink>
    </w:p>
    <w:p w:rsidR="00383559" w:rsidRPr="005406CA" w:rsidRDefault="00383559" w:rsidP="00521BEE">
      <w:pPr>
        <w:widowControl w:val="0"/>
        <w:jc w:val="center"/>
        <w:rPr>
          <w:b/>
          <w:lang w:val="ru-RU"/>
        </w:rPr>
      </w:pPr>
      <w:r w:rsidRPr="00962439">
        <w:rPr>
          <w:b/>
        </w:rPr>
        <w:t>Код ЄДРПОУ 21076316</w:t>
      </w:r>
    </w:p>
    <w:p w:rsidR="00383559" w:rsidRPr="00962439" w:rsidRDefault="00383559" w:rsidP="00521BEE"/>
    <w:p w:rsidR="00383559" w:rsidRPr="00962439" w:rsidRDefault="00383559" w:rsidP="00521BEE">
      <w:pPr>
        <w:tabs>
          <w:tab w:val="left" w:pos="3560"/>
          <w:tab w:val="left" w:pos="6036"/>
        </w:tabs>
      </w:pPr>
      <w:r w:rsidRPr="005406CA">
        <w:rPr>
          <w:lang w:val="ru-RU"/>
        </w:rPr>
        <w:t>2</w:t>
      </w:r>
      <w:r w:rsidR="007D4D07">
        <w:t>8</w:t>
      </w:r>
      <w:r w:rsidRPr="005406CA">
        <w:rPr>
          <w:lang w:val="ru-RU"/>
        </w:rPr>
        <w:t xml:space="preserve"> </w:t>
      </w:r>
      <w:r w:rsidRPr="00962439">
        <w:t>квітня 2017 року</w:t>
      </w:r>
      <w:r w:rsidRPr="00962439">
        <w:tab/>
        <w:t xml:space="preserve">         м. Полтава</w:t>
      </w:r>
      <w:r w:rsidR="000E458B">
        <w:tab/>
        <w:t xml:space="preserve">                      №02/ 2183</w:t>
      </w:r>
      <w:r w:rsidRPr="00962439">
        <w:t>-ркк</w:t>
      </w:r>
    </w:p>
    <w:p w:rsidR="00383559" w:rsidRPr="00962439" w:rsidRDefault="00383559" w:rsidP="00521BEE"/>
    <w:p w:rsidR="00383559" w:rsidRPr="00962439" w:rsidRDefault="00383559" w:rsidP="00521BEE"/>
    <w:p w:rsidR="00383559" w:rsidRPr="00962439" w:rsidRDefault="00383559" w:rsidP="00521BEE">
      <w:pPr>
        <w:tabs>
          <w:tab w:val="left" w:pos="5772"/>
        </w:tabs>
        <w:rPr>
          <w:b/>
        </w:rPr>
      </w:pPr>
      <w:r w:rsidRPr="00962439">
        <w:t xml:space="preserve">                                                                     </w:t>
      </w:r>
      <w:r w:rsidRPr="00962439">
        <w:rPr>
          <w:b/>
        </w:rPr>
        <w:t xml:space="preserve"> Виконавчий комітет Полтавської міської ради</w:t>
      </w:r>
    </w:p>
    <w:p w:rsidR="00383559" w:rsidRPr="00962439" w:rsidRDefault="00383559" w:rsidP="00521BEE">
      <w:pPr>
        <w:jc w:val="center"/>
      </w:pPr>
      <w:r w:rsidRPr="00962439">
        <w:t xml:space="preserve">                                                            вул. Соборності, буд. </w:t>
      </w:r>
      <w:smartTag w:uri="urn:schemas-microsoft-com:office:smarttags" w:element="metricconverter">
        <w:smartTagPr>
          <w:attr w:name="ProductID" w:val="36, м"/>
        </w:smartTagPr>
        <w:r w:rsidRPr="00962439">
          <w:t>36, м</w:t>
        </w:r>
      </w:smartTag>
      <w:r w:rsidRPr="00962439">
        <w:t>. Полтава, 36000</w:t>
      </w:r>
    </w:p>
    <w:p w:rsidR="00383559" w:rsidRPr="00962439" w:rsidRDefault="00383559" w:rsidP="00521BEE"/>
    <w:p w:rsidR="00383559" w:rsidRPr="00962439" w:rsidRDefault="00383559" w:rsidP="00521BEE">
      <w:pPr>
        <w:rPr>
          <w:b/>
        </w:rPr>
      </w:pPr>
      <w:r w:rsidRPr="00962439">
        <w:rPr>
          <w:b/>
        </w:rPr>
        <w:t xml:space="preserve">Щодо запобігання порушення </w:t>
      </w:r>
    </w:p>
    <w:p w:rsidR="00383559" w:rsidRPr="00962439" w:rsidRDefault="00383559" w:rsidP="00521BEE">
      <w:pPr>
        <w:rPr>
          <w:b/>
        </w:rPr>
      </w:pPr>
      <w:r w:rsidRPr="00962439">
        <w:rPr>
          <w:b/>
        </w:rPr>
        <w:t>законодавства про захист економічної  конкуренції</w:t>
      </w:r>
    </w:p>
    <w:p w:rsidR="00383559" w:rsidRPr="00962439" w:rsidRDefault="00383559" w:rsidP="00521BEE"/>
    <w:p w:rsidR="00383559" w:rsidRPr="00962439" w:rsidRDefault="00383559" w:rsidP="00521BEE"/>
    <w:p w:rsidR="00383559" w:rsidRPr="00962439" w:rsidRDefault="00383559" w:rsidP="00521BEE">
      <w:pPr>
        <w:spacing w:after="200"/>
        <w:jc w:val="both"/>
        <w:rPr>
          <w:lang w:eastAsia="en-US"/>
        </w:rPr>
      </w:pPr>
      <w:r w:rsidRPr="00962439">
        <w:rPr>
          <w:lang w:eastAsia="en-US"/>
        </w:rPr>
        <w:t xml:space="preserve">                На виконання доручення Голови Антимонопольного комітету України     Терентьєва Ю. О.  Полтавським обласним територіальним відділенням Антимонопольного комітету України  (далі – територіальне відділення)  здійснено дослідження</w:t>
      </w:r>
      <w:r>
        <w:rPr>
          <w:lang w:eastAsia="en-US"/>
        </w:rPr>
        <w:t xml:space="preserve"> впливу органів місцевого самоврядування на </w:t>
      </w:r>
      <w:r w:rsidRPr="00962439">
        <w:rPr>
          <w:lang w:eastAsia="en-US"/>
        </w:rPr>
        <w:t xml:space="preserve"> </w:t>
      </w:r>
      <w:r>
        <w:rPr>
          <w:lang w:eastAsia="en-US"/>
        </w:rPr>
        <w:t xml:space="preserve">регіональні </w:t>
      </w:r>
      <w:r w:rsidRPr="00962439">
        <w:rPr>
          <w:lang w:eastAsia="en-US"/>
        </w:rPr>
        <w:t xml:space="preserve"> ринк</w:t>
      </w:r>
      <w:r>
        <w:rPr>
          <w:lang w:eastAsia="en-US"/>
        </w:rPr>
        <w:t>и</w:t>
      </w:r>
      <w:r w:rsidRPr="00962439">
        <w:rPr>
          <w:lang w:eastAsia="en-US"/>
        </w:rPr>
        <w:t xml:space="preserve"> реалізації товарів, надання послуг  і виконання робіт у тимчасових спорудах (далі – ТС) з метою забезпечення контролю за дотриманням органами місцевого самоврядування законодавства про захист економічної конкуренції.</w:t>
      </w:r>
    </w:p>
    <w:p w:rsidR="00383559" w:rsidRPr="00962439" w:rsidRDefault="00383559" w:rsidP="00CA0B0F">
      <w:pPr>
        <w:jc w:val="both"/>
      </w:pPr>
      <w:r w:rsidRPr="00962439">
        <w:t xml:space="preserve">             В  ході проведення д</w:t>
      </w:r>
      <w:r w:rsidR="009404E5">
        <w:t>ослідження встановлено наступне.</w:t>
      </w:r>
    </w:p>
    <w:p w:rsidR="00383559" w:rsidRPr="00962439" w:rsidRDefault="00383559" w:rsidP="00CA0B0F">
      <w:pPr>
        <w:jc w:val="both"/>
      </w:pPr>
      <w:r w:rsidRPr="00962439">
        <w:t xml:space="preserve">             Виконавчий комітет Полтавської міської ради (надалі – Полтавська міська рада</w:t>
      </w:r>
      <w:r>
        <w:t xml:space="preserve"> або ВК ПМР</w:t>
      </w:r>
      <w:r w:rsidRPr="00962439">
        <w:t xml:space="preserve">) є юридичною особою та зареєстрована 11.09.2006 року номер запису 1 588 120 0000 005401, ідентифікаційний код – 05384689, місцезнаходження: 36000, Полтавська обл., місто Полтава, вулиця Соборності, будинок 36. Основним видом діяльності Полтавської міської ради  є державне управління загального характеру (код за КВЕД 84.11). </w:t>
      </w:r>
    </w:p>
    <w:p w:rsidR="009404E5" w:rsidRDefault="00383559" w:rsidP="00163C39">
      <w:pPr>
        <w:jc w:val="both"/>
        <w:rPr>
          <w:color w:val="000000"/>
        </w:rPr>
      </w:pPr>
      <w:r w:rsidRPr="00962439">
        <w:t xml:space="preserve">              В розумінні статті 140 Конституції України та статті 10 Закону України «Про місцеве самоврядування в Україні» Полтавська міська рада є органом місцевого самоврядування, що представляє відповідні територіальні громади та здійснює від їх імені та в їх інтересах функції і повноваження місцевого самоврядування. Відповідно до статті 144 Конституції України органи місцевого самоврядування в межах повноважень, визначених законом, приймають рішення, які є обов'язковими до виконання на відповідній території. Згідно з частиною першою статті 30 Закону України «Про місцеве самоврядування в Україні» створення місць відпочинку громадян, організація місцевих ринків, ярмарків, </w:t>
      </w:r>
      <w:r w:rsidRPr="00962439">
        <w:rPr>
          <w:u w:val="single"/>
        </w:rPr>
        <w:t>сприяння розвитку всіх форм торгівлі належить</w:t>
      </w:r>
      <w:r w:rsidRPr="00962439">
        <w:t xml:space="preserve"> до повноважень виконавчих органів міської ради. Частиною четвертою статті 28 Закону України «Про регулювання містобудівної діяльності» передбачено, що розміщення тимчасових споруд для провадження підприємницької діяльності здійснюється </w:t>
      </w:r>
      <w:r w:rsidRPr="00962439">
        <w:rPr>
          <w:u w:val="single"/>
        </w:rPr>
        <w:t xml:space="preserve">в порядку, встановленому центральним органом виконавчої влади, що забезпечує формування державної політики у </w:t>
      </w:r>
      <w:r w:rsidRPr="00962439">
        <w:rPr>
          <w:u w:val="single"/>
        </w:rPr>
        <w:lastRenderedPageBreak/>
        <w:t>сфері містобудування</w:t>
      </w:r>
      <w:r w:rsidRPr="00962439">
        <w:t xml:space="preserve">. Відповідно до частини другої статті 28 Закону України «Про регулювання містобудівної діяльності» тимчасові споруди торговельного, побутового, соціально-культурного чи іншого призначення для здійснення підприємницької діяльності – це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 Порядок розміщення тимчасових споруд для провадження підприємницької діяльності затверджено наказом Міністерства регіонального розвитку, будівництва та житлово-комунального господарства України від 21.10.2011 № 244, зареєстрованим в Міністерстві юстиції України 22.11.2011 за № 1330/2006 (далі – Порядок). Відповідно до розділу 2 пункту 2.1. Порядку </w:t>
      </w:r>
      <w:bookmarkStart w:id="1" w:name="o41"/>
      <w:bookmarkEnd w:id="1"/>
      <w:r w:rsidRPr="00962439">
        <w:rPr>
          <w:color w:val="000000"/>
        </w:rPr>
        <w:t>підставою для  розміщення  ТС  є  паспорт  прив'язки  ТС.</w:t>
      </w:r>
    </w:p>
    <w:p w:rsidR="00383559" w:rsidRPr="00962439" w:rsidRDefault="009404E5" w:rsidP="009404E5">
      <w:pPr>
        <w:ind w:firstLine="708"/>
        <w:jc w:val="both"/>
      </w:pPr>
      <w:r>
        <w:t xml:space="preserve">   </w:t>
      </w:r>
      <w:r w:rsidR="00383559" w:rsidRPr="00962439">
        <w:t>Згідно пунктів 2.2. та 2.3. цього ж розділу даного Порядку Замовник,  який має намір встановити ТС,  звертається до відповідного виконавчого органу сільської, селищної, міської ради, районної державної адміністрації із відповідною заявою у довільній формі про можливість розміщення ТС. До заяви додаються: графічні матеріали із зазначенням бажаного місця розташування ТС, виконані замовником у довільній формі на топографо-геодезичній основі М 1:500 кресленнями контурів ТС з прив'язкою до місцевості; реквізити замовника (найменування,  П.І.Б., адреса, контактна інформація). Цей перелік документів є вичерпним.</w:t>
      </w:r>
    </w:p>
    <w:p w:rsidR="00383559" w:rsidRPr="00962439" w:rsidRDefault="00383559" w:rsidP="004F7369">
      <w:pPr>
        <w:ind w:firstLine="708"/>
        <w:jc w:val="both"/>
      </w:pPr>
      <w:r w:rsidRPr="00962439">
        <w:t xml:space="preserve">   У зв’язку із дослідженням </w:t>
      </w:r>
      <w:r>
        <w:rPr>
          <w:lang w:eastAsia="en-US"/>
        </w:rPr>
        <w:t xml:space="preserve">впливу органів місцевого самоврядування на </w:t>
      </w:r>
      <w:r w:rsidRPr="00962439">
        <w:rPr>
          <w:lang w:eastAsia="en-US"/>
        </w:rPr>
        <w:t xml:space="preserve"> </w:t>
      </w:r>
      <w:r>
        <w:rPr>
          <w:lang w:eastAsia="en-US"/>
        </w:rPr>
        <w:t xml:space="preserve">регіональні </w:t>
      </w:r>
      <w:r w:rsidRPr="00962439">
        <w:rPr>
          <w:lang w:eastAsia="en-US"/>
        </w:rPr>
        <w:t xml:space="preserve"> ринк</w:t>
      </w:r>
      <w:r>
        <w:rPr>
          <w:lang w:eastAsia="en-US"/>
        </w:rPr>
        <w:t>и</w:t>
      </w:r>
      <w:r w:rsidRPr="00962439">
        <w:rPr>
          <w:lang w:eastAsia="en-US"/>
        </w:rPr>
        <w:t xml:space="preserve"> реалізації товарів, надання послуг  і виконання робіт у тимчасових спорудах територіальним відділенням 06.02.2017 року  було направлено вимоги до виконавчих комітетів Миргородської та Кременчуцької міської ради, а також до виконавчого комітету Полтавської міської ради.</w:t>
      </w:r>
    </w:p>
    <w:p w:rsidR="00383559" w:rsidRPr="00962439" w:rsidRDefault="00383559" w:rsidP="004F7369">
      <w:pPr>
        <w:ind w:firstLine="708"/>
        <w:jc w:val="both"/>
      </w:pPr>
      <w:r w:rsidRPr="00962439">
        <w:t xml:space="preserve">    За інформацією, одержаною територіальним відділенням від виконавчого комітету Полтавської міської ради листом від</w:t>
      </w:r>
      <w:r w:rsidRPr="00962439">
        <w:rPr>
          <w:bCs/>
          <w:color w:val="000000"/>
        </w:rPr>
        <w:t xml:space="preserve">  17.02.2017 № 04.2-27/1/116  (вх. № 02/504 від 21.02.2017) розміщення ТС відбувається у відповідності до Положення про розміщення тимчасових споруд</w:t>
      </w:r>
      <w:r w:rsidRPr="002D768E">
        <w:rPr>
          <w:bCs/>
          <w:color w:val="000000"/>
        </w:rPr>
        <w:t xml:space="preserve"> </w:t>
      </w:r>
      <w:r w:rsidRPr="00962439">
        <w:rPr>
          <w:bCs/>
          <w:color w:val="000000"/>
        </w:rPr>
        <w:t xml:space="preserve"> для провадження підприємницької діяльності на території м. Полтава затвердженого Рішенням двадцять другої сесії шостого скликання від 18.05.2012 року (надалі – Положення) та чинної містобудівної документації, зокрема, комплексної схеми  розміщення ТС  затвердженої Рішенням №192 від 04.12.2013 року. З метою забезпечення загальної  доступності на виконання вимог статті 17 </w:t>
      </w:r>
      <w:r>
        <w:rPr>
          <w:bCs/>
          <w:color w:val="000000"/>
        </w:rPr>
        <w:t xml:space="preserve">Закону </w:t>
      </w:r>
      <w:r w:rsidRPr="00962439">
        <w:rPr>
          <w:bCs/>
          <w:color w:val="000000"/>
        </w:rPr>
        <w:t xml:space="preserve"> </w:t>
      </w:r>
      <w:r w:rsidRPr="00962439">
        <w:t>України «Про регулювання містобудівної діяльності», комплексна схема розміщення ТС міста розміщена на офіційному веб-сайті ПМР та на власній веб-сторінці Єдиного державного веб-порталу відкритих даних.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62439">
        <w:tab/>
        <w:t xml:space="preserve">   У відповідності до пункту 2.1. розділу 2 Положення </w:t>
      </w:r>
      <w:r w:rsidRPr="00962439">
        <w:rPr>
          <w:color w:val="000000"/>
          <w:lang w:eastAsia="en-US"/>
        </w:rPr>
        <w:t>розміщення ТС на території міста регламентується затвердженою містобудівною документацією, Комплексною схемою розміщення ТС на території м. Полтава та іншими нормативно - правовими актами. Пунктами 2.2. та 2.4. цього ж розділу передбачено, що ТС повинні гармонійно вписуватися в навколишнє середовище, відповідати необхідним естетичним, санітарним вимогам та повинні бути виконані з застосуванням сучасних матеріалів (це  Положення  не  поширюється  на  розміщення тимчасових споруд для провадження підприємницької  діяльності  на  землях  із особливим режимом використання) а також встановлено що вимоги та обмеження щодо зовнішнього вигляду ТС та благоустрою прилеглої території визначаються паспортом прив’язки.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  <w:r w:rsidRPr="00962439">
        <w:rPr>
          <w:color w:val="000000"/>
          <w:lang w:eastAsia="en-US"/>
        </w:rPr>
        <w:t xml:space="preserve">            </w:t>
      </w:r>
      <w:r>
        <w:rPr>
          <w:color w:val="000000"/>
          <w:lang w:eastAsia="en-US"/>
        </w:rPr>
        <w:t xml:space="preserve">  </w:t>
      </w:r>
      <w:r w:rsidRPr="00962439">
        <w:rPr>
          <w:color w:val="000000"/>
          <w:lang w:eastAsia="en-US"/>
        </w:rPr>
        <w:t xml:space="preserve"> </w:t>
      </w:r>
      <w:r w:rsidRPr="00962439">
        <w:rPr>
          <w:color w:val="000000"/>
          <w:lang w:val="ru-RU" w:eastAsia="en-US"/>
        </w:rPr>
        <w:t>Згідно пункту 7.1. розділу 7 П</w:t>
      </w:r>
      <w:r w:rsidR="00191453">
        <w:rPr>
          <w:color w:val="000000"/>
          <w:lang w:val="ru-RU" w:eastAsia="en-US"/>
        </w:rPr>
        <w:t>о</w:t>
      </w:r>
      <w:r w:rsidRPr="00962439">
        <w:rPr>
          <w:color w:val="000000"/>
          <w:lang w:val="ru-RU" w:eastAsia="en-US"/>
        </w:rPr>
        <w:t>ложення підставою для  розміщення  ТС  є  паспорт  прив’язки  ТС.</w:t>
      </w:r>
      <w:r w:rsidRPr="00962439">
        <w:rPr>
          <w:b/>
          <w:bCs/>
          <w:color w:val="000000"/>
          <w:lang w:val="ru-RU" w:eastAsia="en-US"/>
        </w:rPr>
        <w:t xml:space="preserve"> </w:t>
      </w:r>
      <w:r w:rsidRPr="00962439">
        <w:rPr>
          <w:color w:val="000000"/>
          <w:lang w:val="ru-RU" w:eastAsia="en-US"/>
        </w:rPr>
        <w:t>Пунктом 7.2.  даного розділу встановлено, що для  оформлення  паспорта прив’язки замовник звертається до управління з питань містобудування  та  архітектури  із  додатковою заявою щодо оформлення паспорта прив’язки ТС, до якої додає: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 схему розміщення ТС;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lastRenderedPageBreak/>
        <w:t xml:space="preserve">     - ескізи фасадів  ТС  у кольорі М 1:  50 (для стаціонарних ТС), які  виготовляє  суб’єкт  господарювання,  що  має   ліцензію   на виконання  проектних робіт,  або архітектор,  який має відповідний кваліфікаційний сертифікат;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схему благоустрою  прилеглої  території,  складену замовником або суб’єктом  підприємницької  діяльності,  який  має  відповідну ліцензію,   архітектором,  який  має  відповідний  кваліфікаційний сертифікат,  відповідно  до  Закону   України   “Про   благоустрій населених пунктів України” ;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договір особистого строкового земельного сервітуту (у випадках, визначених цим Положенням).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технічні умови щодо інженерного забезпечення (за  наявності), отримані  замовником  у  балансоутримувача  відповідних інженерних мереж.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Зазначені документи замовником отримуються самостійно</w:t>
      </w:r>
      <w:r w:rsidR="00191453">
        <w:rPr>
          <w:color w:val="000000"/>
          <w:lang w:val="ru-RU" w:eastAsia="en-US"/>
        </w:rPr>
        <w:t>.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     Пунктом  7.9.  Положення встановлено, що при оформлен</w:t>
      </w:r>
      <w:r w:rsidR="00191453">
        <w:rPr>
          <w:color w:val="000000"/>
          <w:lang w:val="ru-RU" w:eastAsia="en-US"/>
        </w:rPr>
        <w:t>н</w:t>
      </w:r>
      <w:r w:rsidRPr="00962439">
        <w:rPr>
          <w:color w:val="000000"/>
          <w:lang w:val="ru-RU" w:eastAsia="en-US"/>
        </w:rPr>
        <w:t>і  паспорт</w:t>
      </w:r>
      <w:r w:rsidR="00191453">
        <w:rPr>
          <w:color w:val="000000"/>
          <w:lang w:val="ru-RU" w:eastAsia="en-US"/>
        </w:rPr>
        <w:t>у</w:t>
      </w:r>
      <w:r w:rsidRPr="00962439">
        <w:rPr>
          <w:color w:val="000000"/>
          <w:lang w:val="ru-RU" w:eastAsia="en-US"/>
        </w:rPr>
        <w:t xml:space="preserve">  прив’язки  ТС  забороняється вимагати  від  замовника  додаткові  документи  та  отримання  ним погоджень, не передбачених законом та цим Положенням. 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      Пунктом 7.10. </w:t>
      </w:r>
      <w:r w:rsidR="00191453">
        <w:rPr>
          <w:color w:val="000000"/>
          <w:lang w:val="ru-RU" w:eastAsia="en-US"/>
        </w:rPr>
        <w:t>визначено</w:t>
      </w:r>
      <w:r w:rsidRPr="00962439">
        <w:rPr>
          <w:color w:val="000000"/>
          <w:lang w:val="ru-RU" w:eastAsia="en-US"/>
        </w:rPr>
        <w:t>, що паспорт прив’язки ТС не надається за умов: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подання неповного пакета документів,  визначених пунктом  7.2 цього Положення;</w:t>
      </w:r>
    </w:p>
    <w:p w:rsidR="00383559" w:rsidRPr="00962439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 xml:space="preserve">     - подання недостовірних відомостей,  зазначених  у  пункті  7.2 цього Положення.</w:t>
      </w:r>
    </w:p>
    <w:p w:rsidR="00383559" w:rsidRPr="009404E5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404E5">
        <w:rPr>
          <w:color w:val="000000"/>
          <w:lang w:val="ru-RU" w:eastAsia="en-US"/>
        </w:rPr>
        <w:t xml:space="preserve">            Ненадання паспорта прив’язки з інших підстав не допускається. </w:t>
      </w:r>
    </w:p>
    <w:p w:rsidR="00383559" w:rsidRPr="009404E5" w:rsidRDefault="00383559" w:rsidP="00C128A2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</w:p>
    <w:p w:rsidR="00383559" w:rsidRPr="000A0D14" w:rsidRDefault="005406CA" w:rsidP="005406CA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en-US"/>
        </w:rPr>
      </w:pPr>
      <w:r>
        <w:rPr>
          <w:color w:val="000000"/>
          <w:lang w:val="ru-RU" w:eastAsia="en-US"/>
        </w:rPr>
        <w:t xml:space="preserve">   </w:t>
      </w:r>
      <w:r w:rsidR="00383559" w:rsidRPr="00B73C38">
        <w:rPr>
          <w:color w:val="000000"/>
          <w:lang w:val="ru-RU" w:eastAsia="en-US"/>
        </w:rPr>
        <w:t>Також у відповідності до Витягу з пояснювальної записки до проекту «Комплексної схеми розміщення тимчасових споруд для провадження підприємницької діяльності на території м. Полтава»</w:t>
      </w:r>
      <w:r w:rsidR="00191453">
        <w:rPr>
          <w:color w:val="000000"/>
          <w:lang w:val="ru-RU" w:eastAsia="en-US"/>
        </w:rPr>
        <w:t>,</w:t>
      </w:r>
      <w:r w:rsidR="00383559" w:rsidRPr="00B73C38">
        <w:rPr>
          <w:color w:val="000000"/>
          <w:lang w:val="ru-RU" w:eastAsia="en-US"/>
        </w:rPr>
        <w:t xml:space="preserve"> </w:t>
      </w:r>
      <w:r w:rsidR="00383559" w:rsidRPr="00B73C38">
        <w:rPr>
          <w:bCs/>
          <w:color w:val="000000"/>
        </w:rPr>
        <w:t>затвердженої Рішенням</w:t>
      </w:r>
      <w:r w:rsidR="00383559" w:rsidRPr="00B73C38">
        <w:rPr>
          <w:color w:val="000000"/>
          <w:lang w:val="ru-RU" w:eastAsia="en-US"/>
        </w:rPr>
        <w:t xml:space="preserve"> ВК ПМР</w:t>
      </w:r>
      <w:r w:rsidR="00383559" w:rsidRPr="00B73C38">
        <w:rPr>
          <w:bCs/>
          <w:color w:val="000000"/>
        </w:rPr>
        <w:t xml:space="preserve"> №192 від 04.12.2013 року</w:t>
      </w:r>
      <w:r w:rsidR="00383559" w:rsidRPr="00B73C38">
        <w:rPr>
          <w:color w:val="000000"/>
          <w:lang w:val="ru-RU" w:eastAsia="en-US"/>
        </w:rPr>
        <w:t xml:space="preserve"> (надалі - Пояснювальна записка) визначено 6 комплексних зон (А, Б, В, Г, Д, Е відповідно) та встановлено обмеження щодо розміщення тимчасових споруд, визначено режими їх використання. Згідно дано</w:t>
      </w:r>
      <w:r w:rsidR="00191453">
        <w:rPr>
          <w:color w:val="000000"/>
          <w:lang w:val="ru-RU" w:eastAsia="en-US"/>
        </w:rPr>
        <w:t>ї</w:t>
      </w:r>
      <w:r w:rsidR="00383559" w:rsidRPr="00B73C38">
        <w:rPr>
          <w:color w:val="000000"/>
          <w:lang w:val="ru-RU" w:eastAsia="en-US"/>
        </w:rPr>
        <w:t xml:space="preserve"> </w:t>
      </w:r>
      <w:r w:rsidR="00191453">
        <w:rPr>
          <w:color w:val="000000"/>
          <w:lang w:val="ru-RU" w:eastAsia="en-US"/>
        </w:rPr>
        <w:t>Пояснювальної записки,</w:t>
      </w:r>
      <w:r w:rsidR="00383559" w:rsidRPr="00B73C38">
        <w:rPr>
          <w:color w:val="000000"/>
          <w:lang w:val="ru-RU" w:eastAsia="en-US"/>
        </w:rPr>
        <w:t xml:space="preserve"> під час оформлення</w:t>
      </w:r>
      <w:r w:rsidR="00383559">
        <w:rPr>
          <w:color w:val="000000"/>
          <w:lang w:val="ru-RU" w:eastAsia="en-US"/>
        </w:rPr>
        <w:t xml:space="preserve"> та/або переоформлення</w:t>
      </w:r>
      <w:r w:rsidR="00383559" w:rsidRPr="00B73C38">
        <w:rPr>
          <w:color w:val="000000"/>
          <w:lang w:val="ru-RU" w:eastAsia="en-US"/>
        </w:rPr>
        <w:t xml:space="preserve"> паспорту привязки для подальшого  розміщення ТС, </w:t>
      </w:r>
      <w:r w:rsidR="00383559" w:rsidRPr="00B20D57">
        <w:rPr>
          <w:color w:val="000000"/>
          <w:u w:val="single"/>
          <w:lang w:val="ru-RU" w:eastAsia="en-US"/>
        </w:rPr>
        <w:t xml:space="preserve">лише в  двох зонах міста, а </w:t>
      </w:r>
      <w:r w:rsidR="00191453">
        <w:rPr>
          <w:color w:val="000000"/>
          <w:u w:val="single"/>
          <w:lang w:val="ru-RU" w:eastAsia="en-US"/>
        </w:rPr>
        <w:t>сааме:</w:t>
      </w:r>
      <w:r w:rsidR="00383559" w:rsidRPr="00B20D57">
        <w:rPr>
          <w:color w:val="000000"/>
          <w:u w:val="single"/>
          <w:lang w:val="ru-RU" w:eastAsia="en-US"/>
        </w:rPr>
        <w:t xml:space="preserve">  В і Д</w:t>
      </w:r>
      <w:r w:rsidR="00191453">
        <w:rPr>
          <w:color w:val="000000"/>
          <w:u w:val="single"/>
          <w:lang w:val="ru-RU" w:eastAsia="en-US"/>
        </w:rPr>
        <w:t>,</w:t>
      </w:r>
      <w:r w:rsidR="00383559" w:rsidRPr="00B20D57">
        <w:rPr>
          <w:color w:val="000000"/>
          <w:u w:val="single"/>
          <w:lang w:val="ru-RU" w:eastAsia="en-US"/>
        </w:rPr>
        <w:t xml:space="preserve">  затвердженої  Комплексної схеми, виконавчий комітет має  приділяти увагу питанню</w:t>
      </w:r>
      <w:r w:rsidR="00383559" w:rsidRPr="00B73C38">
        <w:rPr>
          <w:color w:val="000000"/>
          <w:lang w:val="ru-RU" w:eastAsia="en-US"/>
        </w:rPr>
        <w:t xml:space="preserve"> </w:t>
      </w:r>
      <w:r w:rsidR="00383559" w:rsidRPr="000A0D14">
        <w:rPr>
          <w:i/>
          <w:color w:val="000000"/>
          <w:lang w:val="ru-RU" w:eastAsia="en-US"/>
        </w:rPr>
        <w:t>доцільності розміщення об’єкту з огляду на забезпеченість певної території вже існуючими об</w:t>
      </w:r>
      <w:r w:rsidR="002B4E57" w:rsidRPr="000A0D14">
        <w:rPr>
          <w:i/>
          <w:color w:val="000000"/>
          <w:lang w:val="ru-RU" w:eastAsia="en-US"/>
        </w:rPr>
        <w:t>'</w:t>
      </w:r>
      <w:r w:rsidR="00383559" w:rsidRPr="000A0D14">
        <w:rPr>
          <w:i/>
          <w:color w:val="000000"/>
          <w:lang w:val="ru-RU" w:eastAsia="en-US"/>
        </w:rPr>
        <w:t>єктами торгівельно-побутової інфраструктури та  тимчасовими спорудами, у відповідності до чинних державних  санітарно-гігієнічних, будівельних норм та правил</w:t>
      </w:r>
      <w:r w:rsidR="00383559" w:rsidRPr="000A0D14">
        <w:rPr>
          <w:color w:val="000000"/>
          <w:lang w:val="ru-RU" w:eastAsia="en-US"/>
        </w:rPr>
        <w:t>.</w:t>
      </w:r>
    </w:p>
    <w:p w:rsidR="00383559" w:rsidRPr="00962439" w:rsidRDefault="00383559" w:rsidP="00B5700C">
      <w:pPr>
        <w:tabs>
          <w:tab w:val="left" w:pos="1129"/>
        </w:tabs>
        <w:jc w:val="both"/>
      </w:pPr>
      <w:r w:rsidRPr="00962439">
        <w:t xml:space="preserve">               </w:t>
      </w:r>
      <w:r w:rsidR="00B20D57">
        <w:t>Крім того</w:t>
      </w:r>
      <w:r w:rsidRPr="00962439">
        <w:t xml:space="preserve"> вимоги, які бул</w:t>
      </w:r>
      <w:r w:rsidR="00B20D57">
        <w:t>и</w:t>
      </w:r>
      <w:r w:rsidRPr="00962439">
        <w:t xml:space="preserve"> направлен</w:t>
      </w:r>
      <w:r w:rsidR="00B20D57">
        <w:t>і</w:t>
      </w:r>
      <w:r w:rsidRPr="00962439">
        <w:t xml:space="preserve"> в межах дослідження до ВК </w:t>
      </w:r>
      <w:r w:rsidR="00C042A3">
        <w:t xml:space="preserve">Полтавської міської ради </w:t>
      </w:r>
      <w:r w:rsidRPr="00962439">
        <w:t>06.02.20</w:t>
      </w:r>
      <w:r>
        <w:t>1</w:t>
      </w:r>
      <w:r w:rsidRPr="00962439">
        <w:t>7 року містили перелік питань, одним з яких було нада</w:t>
      </w:r>
      <w:r w:rsidR="00C042A3">
        <w:t>ння</w:t>
      </w:r>
      <w:r w:rsidRPr="00962439">
        <w:t xml:space="preserve"> кільк</w:t>
      </w:r>
      <w:r w:rsidR="00C042A3">
        <w:t>о</w:t>
      </w:r>
      <w:r w:rsidRPr="00962439">
        <w:t>ст</w:t>
      </w:r>
      <w:r w:rsidR="00C042A3">
        <w:t>і</w:t>
      </w:r>
      <w:r w:rsidRPr="00962439">
        <w:t xml:space="preserve"> уча</w:t>
      </w:r>
      <w:r>
        <w:t>с</w:t>
      </w:r>
      <w:r w:rsidRPr="00962439">
        <w:t>ників ринку, які отримали паспорти прив’язки ТС протягом 2016 року з розбивкою з</w:t>
      </w:r>
      <w:r>
        <w:t>а видами реалізації продукції (</w:t>
      </w:r>
      <w:r w:rsidRPr="00962439">
        <w:t>пр</w:t>
      </w:r>
      <w:r w:rsidR="00C042A3">
        <w:t>одовольчі, тютюнові товари тощо</w:t>
      </w:r>
      <w:r w:rsidRPr="00962439">
        <w:t xml:space="preserve">). </w:t>
      </w:r>
      <w:r>
        <w:rPr>
          <w:bCs/>
          <w:color w:val="000000"/>
        </w:rPr>
        <w:t>ВК П</w:t>
      </w:r>
      <w:r w:rsidR="00B20D57">
        <w:rPr>
          <w:bCs/>
          <w:color w:val="000000"/>
        </w:rPr>
        <w:t>олтавської міської ради</w:t>
      </w:r>
      <w:r w:rsidRPr="00962439">
        <w:rPr>
          <w:bCs/>
          <w:color w:val="000000"/>
        </w:rPr>
        <w:t xml:space="preserve">  </w:t>
      </w:r>
      <w:r>
        <w:rPr>
          <w:bCs/>
          <w:color w:val="000000"/>
        </w:rPr>
        <w:t>л</w:t>
      </w:r>
      <w:r w:rsidRPr="00962439">
        <w:rPr>
          <w:bCs/>
          <w:color w:val="000000"/>
        </w:rPr>
        <w:t xml:space="preserve">истом від 14.04.2016 року (вх. № 02/1435 від 18.04.2017 року) </w:t>
      </w:r>
      <w:r w:rsidR="005406CA">
        <w:rPr>
          <w:bCs/>
          <w:color w:val="000000"/>
          <w:u w:val="single"/>
        </w:rPr>
        <w:t>по</w:t>
      </w:r>
      <w:r w:rsidRPr="00B73C38">
        <w:rPr>
          <w:bCs/>
          <w:color w:val="000000"/>
          <w:u w:val="single"/>
        </w:rPr>
        <w:t>відом</w:t>
      </w:r>
      <w:r w:rsidR="005406CA">
        <w:rPr>
          <w:bCs/>
          <w:color w:val="000000"/>
          <w:u w:val="single"/>
        </w:rPr>
        <w:t>ив  територіальн</w:t>
      </w:r>
      <w:r w:rsidR="000A0D14">
        <w:rPr>
          <w:bCs/>
          <w:color w:val="000000"/>
          <w:u w:val="single"/>
        </w:rPr>
        <w:t>ому</w:t>
      </w:r>
      <w:r w:rsidR="005406CA">
        <w:rPr>
          <w:bCs/>
          <w:color w:val="000000"/>
          <w:u w:val="single"/>
        </w:rPr>
        <w:t xml:space="preserve"> відділ</w:t>
      </w:r>
      <w:r w:rsidR="00C042A3">
        <w:rPr>
          <w:bCs/>
          <w:color w:val="000000"/>
          <w:u w:val="single"/>
        </w:rPr>
        <w:t>е</w:t>
      </w:r>
      <w:r w:rsidR="005406CA">
        <w:rPr>
          <w:bCs/>
          <w:color w:val="000000"/>
          <w:u w:val="single"/>
        </w:rPr>
        <w:t>нн</w:t>
      </w:r>
      <w:r w:rsidR="000A0D14">
        <w:rPr>
          <w:bCs/>
          <w:color w:val="000000"/>
          <w:u w:val="single"/>
        </w:rPr>
        <w:t>ю</w:t>
      </w:r>
      <w:r w:rsidRPr="00B73C38">
        <w:rPr>
          <w:bCs/>
          <w:color w:val="000000"/>
          <w:u w:val="single"/>
        </w:rPr>
        <w:t xml:space="preserve">, </w:t>
      </w:r>
      <w:r w:rsidR="00D47A34">
        <w:rPr>
          <w:bCs/>
          <w:color w:val="000000"/>
          <w:u w:val="single"/>
        </w:rPr>
        <w:t xml:space="preserve">що </w:t>
      </w:r>
      <w:r w:rsidR="006832F0">
        <w:rPr>
          <w:bCs/>
          <w:color w:val="000000"/>
          <w:u w:val="single"/>
        </w:rPr>
        <w:t>не має можливості надати інформацію з розбивкою за видами продукції, що буде реалізовуватись суб’єктами господарювання через тимчасові споруди.</w:t>
      </w:r>
    </w:p>
    <w:p w:rsidR="00383559" w:rsidRPr="00962439" w:rsidRDefault="00383559" w:rsidP="00FE6751">
      <w:pPr>
        <w:ind w:firstLine="708"/>
        <w:jc w:val="both"/>
      </w:pPr>
      <w:r w:rsidRPr="00962439">
        <w:t>Таким чином</w:t>
      </w:r>
      <w:r w:rsidR="00B20D57">
        <w:t>,</w:t>
      </w:r>
      <w:r w:rsidRPr="00962439">
        <w:t xml:space="preserve"> </w:t>
      </w:r>
      <w:r w:rsidR="005406CA">
        <w:t>В</w:t>
      </w:r>
      <w:r w:rsidR="002B4E57">
        <w:t xml:space="preserve">иконавчим комітетом </w:t>
      </w:r>
      <w:r w:rsidR="005406CA">
        <w:t>Полтавської міської ради</w:t>
      </w:r>
      <w:r w:rsidR="005406CA" w:rsidRPr="00962439">
        <w:t xml:space="preserve"> </w:t>
      </w:r>
      <w:r w:rsidR="00B20D57">
        <w:t xml:space="preserve">контроль за </w:t>
      </w:r>
      <w:r w:rsidRPr="00962439">
        <w:t>розміщення</w:t>
      </w:r>
      <w:r w:rsidR="00B20D57">
        <w:t>м</w:t>
      </w:r>
      <w:r w:rsidRPr="00962439">
        <w:t xml:space="preserve"> тимчасових споруд торговельного, побутового, соціально-культурного чи іншого призначення для здійснення підприємницької діяльності на території м. Полтава</w:t>
      </w:r>
      <w:r w:rsidR="002B4E57">
        <w:t>,</w:t>
      </w:r>
      <w:r w:rsidRPr="00962439">
        <w:t xml:space="preserve"> здійснюються без урахування спеціалізаці</w:t>
      </w:r>
      <w:r w:rsidR="002B4E57">
        <w:t>ї</w:t>
      </w:r>
      <w:r w:rsidRPr="00962439">
        <w:t xml:space="preserve"> тимчасової споруди</w:t>
      </w:r>
      <w:r w:rsidR="002B4E57">
        <w:t xml:space="preserve"> (видів реалізації товарів</w:t>
      </w:r>
      <w:r w:rsidR="001A21E7">
        <w:t>, надання послуг тощо</w:t>
      </w:r>
      <w:r w:rsidR="002B4E57">
        <w:t>)</w:t>
      </w:r>
      <w:r w:rsidRPr="00962439">
        <w:t>, що в свою чергу не дозволяє забезпечити конкуренці</w:t>
      </w:r>
      <w:r w:rsidR="000B1CC6">
        <w:t>ю</w:t>
      </w:r>
      <w:r w:rsidRPr="00962439">
        <w:t xml:space="preserve"> на ринках реалізації товарів, робіт та послуг, що проводяться згідно специфікації роботи</w:t>
      </w:r>
      <w:r>
        <w:t xml:space="preserve"> у</w:t>
      </w:r>
      <w:r w:rsidRPr="00962439">
        <w:t xml:space="preserve"> ТС.</w:t>
      </w:r>
    </w:p>
    <w:p w:rsidR="002B4E57" w:rsidRDefault="00B20D57" w:rsidP="002B4E57">
      <w:pPr>
        <w:ind w:firstLine="708"/>
        <w:jc w:val="both"/>
      </w:pPr>
      <w:r>
        <w:t>О</w:t>
      </w:r>
      <w:r w:rsidR="00383559" w:rsidRPr="00962439">
        <w:t>тже</w:t>
      </w:r>
      <w:r>
        <w:t>,</w:t>
      </w:r>
      <w:r w:rsidR="00383559" w:rsidRPr="00962439">
        <w:t xml:space="preserve"> відсутність </w:t>
      </w:r>
      <w:r w:rsidR="00C92D54">
        <w:t xml:space="preserve">визначення доцільності </w:t>
      </w:r>
      <w:r w:rsidR="00383559" w:rsidRPr="00962439">
        <w:t>розміщення тимчасових споруд торговельного, побутового, соціально-культурного чи іншого призначення для здійснення підприємницької діяльності</w:t>
      </w:r>
      <w:r w:rsidR="00724CBD">
        <w:t xml:space="preserve"> </w:t>
      </w:r>
      <w:r w:rsidR="005406CA">
        <w:t xml:space="preserve">та виду діяльності </w:t>
      </w:r>
      <w:r w:rsidR="00724CBD">
        <w:t>під час погодження розміщення ТС</w:t>
      </w:r>
      <w:r w:rsidR="00383559" w:rsidRPr="00962439">
        <w:t xml:space="preserve"> </w:t>
      </w:r>
      <w:r w:rsidR="002B4E57">
        <w:t xml:space="preserve">може мати </w:t>
      </w:r>
      <w:r w:rsidR="00383559" w:rsidRPr="00962439">
        <w:t>негативний в</w:t>
      </w:r>
      <w:r w:rsidR="002B4E57">
        <w:t>плив на конкурентне середовище та може призвести до спотворення конкуренції на відповідних ринках реалізації товарів, робіт та послуг, що надаються в ТС.</w:t>
      </w:r>
    </w:p>
    <w:p w:rsidR="00383559" w:rsidRDefault="00383559" w:rsidP="00B5700C">
      <w:pPr>
        <w:ind w:firstLine="708"/>
        <w:jc w:val="both"/>
      </w:pPr>
      <w:r>
        <w:t xml:space="preserve">      </w:t>
      </w:r>
    </w:p>
    <w:p w:rsidR="00383559" w:rsidRDefault="00383559" w:rsidP="00B5700C">
      <w:pPr>
        <w:ind w:firstLine="708"/>
        <w:jc w:val="both"/>
      </w:pPr>
      <w:r>
        <w:lastRenderedPageBreak/>
        <w:t xml:space="preserve"> </w:t>
      </w:r>
      <w:r w:rsidR="00671ED1">
        <w:t>Відповідно до частини другої</w:t>
      </w:r>
      <w:r w:rsidRPr="00962439">
        <w:t xml:space="preserve"> статті 4 Закону України «Про захист економічної конкуренції» органи місцевого самоврядування зобов'язані сприяти розвитку </w:t>
      </w:r>
      <w:r>
        <w:t>конкуренції та не вчиняти будь-</w:t>
      </w:r>
      <w:r w:rsidRPr="00962439">
        <w:t xml:space="preserve">яких неправомірних дій, які можуть мати негативний вплив на конкуренцію. </w:t>
      </w:r>
    </w:p>
    <w:p w:rsidR="00383559" w:rsidRDefault="00383559" w:rsidP="00B5700C">
      <w:pPr>
        <w:ind w:firstLine="708"/>
        <w:jc w:val="both"/>
      </w:pPr>
      <w:r w:rsidRPr="00962439">
        <w:t xml:space="preserve">Відповідно до частини </w:t>
      </w:r>
      <w:r w:rsidR="00671ED1">
        <w:t>третьої</w:t>
      </w:r>
      <w:r w:rsidRPr="00962439">
        <w:t xml:space="preserve"> статті 15 Закону України «Про захист економічної конкуренції» вчинення антиконкурентних дій органами місцевого самоврядування забороняється і тягне за собою відповідальність згідно з законом. </w:t>
      </w:r>
    </w:p>
    <w:p w:rsidR="00383559" w:rsidRPr="00962439" w:rsidRDefault="00383559" w:rsidP="00FE6751"/>
    <w:p w:rsidR="00383559" w:rsidRPr="00962439" w:rsidRDefault="00671ED1" w:rsidP="00FE675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Враховуючи вищевикладене</w:t>
      </w:r>
      <w:r w:rsidR="00383559" w:rsidRPr="00962439">
        <w:rPr>
          <w:color w:val="000000"/>
          <w:lang w:eastAsia="en-US"/>
        </w:rPr>
        <w:t xml:space="preserve">, з метою запобігання вчинення порушення законодавства про захист економічної конкуренції, керуючись </w:t>
      </w:r>
      <w:r w:rsidR="00383559">
        <w:rPr>
          <w:color w:val="000000"/>
          <w:lang w:eastAsia="en-US"/>
        </w:rPr>
        <w:t>статтею</w:t>
      </w:r>
      <w:r w:rsidR="00383559" w:rsidRPr="00962439">
        <w:rPr>
          <w:color w:val="000000"/>
          <w:lang w:eastAsia="en-US"/>
        </w:rPr>
        <w:t xml:space="preserve"> 14 Закону України «Про Антимонопольний комітет України», адміністративна колегія Полтавського обласного територіального відділення Антимонопольного комітету України </w:t>
      </w:r>
    </w:p>
    <w:p w:rsidR="00383559" w:rsidRPr="00962439" w:rsidRDefault="00383559" w:rsidP="00FE6751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83559" w:rsidRDefault="00383559" w:rsidP="00FE6751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B5700C">
        <w:rPr>
          <w:b/>
          <w:bCs/>
          <w:color w:val="000000"/>
          <w:lang w:eastAsia="en-US"/>
        </w:rPr>
        <w:t>РЕКОМЕНД</w:t>
      </w:r>
      <w:r w:rsidR="00B20D57">
        <w:rPr>
          <w:b/>
          <w:bCs/>
          <w:color w:val="000000"/>
          <w:lang w:eastAsia="en-US"/>
        </w:rPr>
        <w:t>УЄ</w:t>
      </w:r>
      <w:r w:rsidRPr="00B5700C">
        <w:rPr>
          <w:b/>
          <w:bCs/>
          <w:color w:val="000000"/>
          <w:lang w:eastAsia="en-US"/>
        </w:rPr>
        <w:t>:</w:t>
      </w:r>
    </w:p>
    <w:p w:rsidR="00724CBD" w:rsidRPr="00B5700C" w:rsidRDefault="00724CBD" w:rsidP="00FE6751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383559" w:rsidRPr="00B5700C" w:rsidRDefault="00C92D54" w:rsidP="00E556F1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Виконавчому комітету Полтавської міської ради </w:t>
      </w:r>
      <w:r w:rsidR="004038F3">
        <w:rPr>
          <w:color w:val="000000"/>
          <w:lang w:eastAsia="en-US"/>
        </w:rPr>
        <w:t xml:space="preserve">в подальшому </w:t>
      </w:r>
      <w:r>
        <w:rPr>
          <w:color w:val="000000"/>
          <w:lang w:eastAsia="en-US"/>
        </w:rPr>
        <w:t>в</w:t>
      </w:r>
      <w:r w:rsidR="00B20D57">
        <w:rPr>
          <w:color w:val="000000"/>
          <w:lang w:eastAsia="en-US"/>
        </w:rPr>
        <w:t>жи</w:t>
      </w:r>
      <w:r w:rsidR="004038F3">
        <w:rPr>
          <w:color w:val="000000"/>
          <w:lang w:eastAsia="en-US"/>
        </w:rPr>
        <w:t>вати</w:t>
      </w:r>
      <w:r w:rsidR="00B20D57">
        <w:rPr>
          <w:color w:val="000000"/>
          <w:lang w:eastAsia="en-US"/>
        </w:rPr>
        <w:t xml:space="preserve"> заходів щодо </w:t>
      </w:r>
      <w:r w:rsidR="00383559" w:rsidRPr="00B5700C">
        <w:rPr>
          <w:color w:val="000000"/>
          <w:lang w:eastAsia="en-US"/>
        </w:rPr>
        <w:t>визначенн</w:t>
      </w:r>
      <w:r>
        <w:rPr>
          <w:color w:val="000000"/>
          <w:lang w:eastAsia="en-US"/>
        </w:rPr>
        <w:t>я</w:t>
      </w:r>
      <w:r w:rsidR="00383559" w:rsidRPr="00B5700C">
        <w:rPr>
          <w:color w:val="000000"/>
          <w:lang w:eastAsia="en-US"/>
        </w:rPr>
        <w:t xml:space="preserve"> </w:t>
      </w:r>
      <w:r w:rsidR="00383559" w:rsidRPr="00C756F5">
        <w:rPr>
          <w:color w:val="000000"/>
          <w:lang w:eastAsia="en-US"/>
        </w:rPr>
        <w:t>доцільності</w:t>
      </w:r>
      <w:r w:rsidR="00F83045">
        <w:rPr>
          <w:color w:val="000000"/>
          <w:lang w:eastAsia="en-US"/>
        </w:rPr>
        <w:t xml:space="preserve"> </w:t>
      </w:r>
      <w:r w:rsidR="00383559" w:rsidRPr="00C756F5">
        <w:rPr>
          <w:color w:val="000000"/>
          <w:lang w:eastAsia="en-US"/>
        </w:rPr>
        <w:t xml:space="preserve"> розміщення тимчасових споруд</w:t>
      </w:r>
      <w:r w:rsidR="00F83045">
        <w:rPr>
          <w:color w:val="000000"/>
          <w:lang w:eastAsia="en-US"/>
        </w:rPr>
        <w:t xml:space="preserve"> </w:t>
      </w:r>
      <w:r w:rsidR="00383559" w:rsidRPr="00C756F5">
        <w:rPr>
          <w:color w:val="000000"/>
          <w:lang w:eastAsia="en-US"/>
        </w:rPr>
        <w:t xml:space="preserve">з огляду на забезпеченість певної </w:t>
      </w:r>
      <w:r w:rsidR="002E184B" w:rsidRPr="00B5700C">
        <w:rPr>
          <w:color w:val="000000"/>
          <w:lang w:eastAsia="en-US"/>
        </w:rPr>
        <w:t>території</w:t>
      </w:r>
      <w:r w:rsidR="00383559" w:rsidRPr="00C756F5">
        <w:rPr>
          <w:color w:val="000000"/>
          <w:lang w:eastAsia="en-US"/>
        </w:rPr>
        <w:t xml:space="preserve"> вже існуючими об’єктами торгівельно-побутової інфраструктури </w:t>
      </w:r>
      <w:r w:rsidR="003713FA">
        <w:rPr>
          <w:color w:val="000000"/>
          <w:lang w:eastAsia="en-US"/>
        </w:rPr>
        <w:t xml:space="preserve">з врахуванням видів діяльності </w:t>
      </w:r>
      <w:r w:rsidR="001A21E7">
        <w:rPr>
          <w:color w:val="000000"/>
          <w:lang w:eastAsia="en-US"/>
        </w:rPr>
        <w:t>тимчасових споруд</w:t>
      </w:r>
      <w:r w:rsidR="003713F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</w:t>
      </w:r>
      <w:r w:rsidR="00461A8F">
        <w:rPr>
          <w:color w:val="000000"/>
          <w:lang w:eastAsia="en-US"/>
        </w:rPr>
        <w:t xml:space="preserve">ід час погодження та оформлення паспорту прив’язки для розміщення </w:t>
      </w:r>
      <w:r w:rsidR="001A21E7">
        <w:rPr>
          <w:color w:val="000000"/>
          <w:lang w:eastAsia="en-US"/>
        </w:rPr>
        <w:t>тимчасових споруд</w:t>
      </w:r>
      <w:r w:rsidR="00461A8F">
        <w:rPr>
          <w:color w:val="000000"/>
          <w:lang w:eastAsia="en-US"/>
        </w:rPr>
        <w:t xml:space="preserve"> </w:t>
      </w:r>
      <w:r w:rsidR="002E184B" w:rsidRPr="00B5700C">
        <w:rPr>
          <w:color w:val="000000"/>
          <w:lang w:eastAsia="en-US"/>
        </w:rPr>
        <w:t>на території м. Полтава</w:t>
      </w:r>
      <w:r w:rsidR="003713FA">
        <w:rPr>
          <w:color w:val="000000"/>
          <w:lang w:eastAsia="en-US"/>
        </w:rPr>
        <w:t>.</w:t>
      </w:r>
    </w:p>
    <w:p w:rsidR="00383559" w:rsidRPr="00B5700C" w:rsidRDefault="00383559" w:rsidP="00FE675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383559" w:rsidRPr="00B5700C" w:rsidRDefault="00383559" w:rsidP="00FE675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  <w:r w:rsidRPr="00B5700C">
        <w:rPr>
          <w:color w:val="000000"/>
          <w:lang w:eastAsia="en-US"/>
        </w:rPr>
        <w:t xml:space="preserve">              </w:t>
      </w:r>
      <w:r w:rsidRPr="00962439">
        <w:rPr>
          <w:color w:val="000000"/>
          <w:lang w:val="ru-RU" w:eastAsia="en-US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 w:rsidRPr="00962439">
        <w:rPr>
          <w:b/>
          <w:bCs/>
          <w:color w:val="000000"/>
          <w:lang w:val="ru-RU" w:eastAsia="en-US"/>
        </w:rPr>
        <w:t>у 10-денний строк з дня їх отримання.</w:t>
      </w:r>
    </w:p>
    <w:p w:rsidR="00383559" w:rsidRPr="00FB7AB5" w:rsidRDefault="00383559" w:rsidP="00FE6751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  <w:r w:rsidRPr="00962439">
        <w:rPr>
          <w:color w:val="000000"/>
          <w:lang w:val="ru-RU" w:eastAsia="en-US"/>
        </w:rPr>
        <w:tab/>
      </w:r>
    </w:p>
    <w:p w:rsidR="00FB7AB5" w:rsidRPr="00FB7AB5" w:rsidRDefault="00FB7AB5" w:rsidP="00FB7AB5">
      <w:pPr>
        <w:pStyle w:val="a7"/>
        <w:tabs>
          <w:tab w:val="clear" w:pos="4677"/>
          <w:tab w:val="clear" w:pos="9355"/>
        </w:tabs>
        <w:ind w:firstLine="708"/>
        <w:jc w:val="both"/>
        <w:rPr>
          <w:sz w:val="24"/>
          <w:szCs w:val="24"/>
        </w:rPr>
      </w:pPr>
      <w:r w:rsidRPr="00FB7AB5">
        <w:rPr>
          <w:sz w:val="24"/>
          <w:szCs w:val="24"/>
        </w:rPr>
        <w:t>Відповідно до частини другої статті 46 Закону України «Про захист економічної конкуренції» рекомендації органів Антимонопольного комітету України підлягають обов’язковому розгляду органами чи особами, яким вони надані.</w:t>
      </w:r>
    </w:p>
    <w:p w:rsidR="00383559" w:rsidRPr="00FB7AB5" w:rsidRDefault="00383559" w:rsidP="00FE675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E556F1" w:rsidRDefault="00E556F1" w:rsidP="00FE6751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</w:p>
    <w:p w:rsidR="009404E5" w:rsidRPr="00962439" w:rsidRDefault="009404E5" w:rsidP="00FE6751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color w:val="000000"/>
          <w:lang w:val="ru-RU" w:eastAsia="en-US"/>
        </w:rPr>
      </w:pP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  <w:r w:rsidRPr="00962439">
        <w:rPr>
          <w:b/>
          <w:bCs/>
          <w:color w:val="000000"/>
          <w:lang w:val="ru-RU" w:eastAsia="en-US"/>
        </w:rPr>
        <w:t>Голова колегії                                                                   В.Оніщенко</w:t>
      </w: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</w:p>
    <w:p w:rsidR="0038355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  <w:r w:rsidRPr="00962439">
        <w:rPr>
          <w:b/>
          <w:bCs/>
          <w:color w:val="000000"/>
          <w:lang w:val="ru-RU" w:eastAsia="en-US"/>
        </w:rPr>
        <w:t xml:space="preserve">Члени колегії                                     </w:t>
      </w:r>
      <w:r w:rsidR="00B20D57">
        <w:rPr>
          <w:b/>
          <w:bCs/>
          <w:color w:val="000000"/>
          <w:lang w:val="ru-RU" w:eastAsia="en-US"/>
        </w:rPr>
        <w:t xml:space="preserve">                               </w:t>
      </w:r>
      <w:r w:rsidRPr="00962439">
        <w:rPr>
          <w:b/>
          <w:bCs/>
          <w:color w:val="000000"/>
          <w:lang w:val="ru-RU" w:eastAsia="en-US"/>
        </w:rPr>
        <w:t>О.Наливка</w:t>
      </w:r>
    </w:p>
    <w:p w:rsidR="00383559" w:rsidRPr="00962439" w:rsidRDefault="00D3666E" w:rsidP="0067260E">
      <w:pPr>
        <w:tabs>
          <w:tab w:val="left" w:pos="5812"/>
        </w:tabs>
        <w:autoSpaceDE w:val="0"/>
        <w:autoSpaceDN w:val="0"/>
        <w:adjustRightInd w:val="0"/>
        <w:ind w:left="5670" w:hanging="141"/>
        <w:jc w:val="both"/>
        <w:rPr>
          <w:b/>
          <w:bCs/>
          <w:color w:val="000000"/>
          <w:lang w:val="ru-RU" w:eastAsia="en-US"/>
        </w:rPr>
      </w:pPr>
      <w:r>
        <w:rPr>
          <w:b/>
          <w:bCs/>
          <w:color w:val="000000"/>
          <w:lang w:val="ru-RU" w:eastAsia="en-US"/>
        </w:rPr>
        <w:t xml:space="preserve">                                                                                              </w:t>
      </w:r>
      <w:r w:rsidR="00383559" w:rsidRPr="00962439">
        <w:rPr>
          <w:b/>
          <w:bCs/>
          <w:color w:val="000000"/>
          <w:lang w:val="ru-RU" w:eastAsia="en-US"/>
        </w:rPr>
        <w:t xml:space="preserve">                                               </w:t>
      </w:r>
      <w:r w:rsidR="00B20D57">
        <w:rPr>
          <w:b/>
          <w:bCs/>
          <w:color w:val="000000"/>
          <w:lang w:val="ru-RU" w:eastAsia="en-US"/>
        </w:rPr>
        <w:t xml:space="preserve">                               </w:t>
      </w:r>
      <w:r w:rsidR="0067260E">
        <w:rPr>
          <w:b/>
          <w:bCs/>
          <w:color w:val="000000"/>
          <w:lang w:val="ru-RU" w:eastAsia="en-US"/>
        </w:rPr>
        <w:t xml:space="preserve">                 </w:t>
      </w:r>
      <w:r w:rsidR="00383559" w:rsidRPr="00962439">
        <w:rPr>
          <w:b/>
          <w:bCs/>
          <w:color w:val="000000"/>
          <w:lang w:val="ru-RU" w:eastAsia="en-US"/>
        </w:rPr>
        <w:t>М.Цісовська</w:t>
      </w: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</w:p>
    <w:p w:rsidR="00383559" w:rsidRPr="00962439" w:rsidRDefault="00383559" w:rsidP="00FE6751">
      <w:pPr>
        <w:autoSpaceDE w:val="0"/>
        <w:autoSpaceDN w:val="0"/>
        <w:adjustRightInd w:val="0"/>
        <w:jc w:val="both"/>
        <w:rPr>
          <w:b/>
          <w:bCs/>
          <w:color w:val="000000"/>
          <w:lang w:val="ru-RU" w:eastAsia="en-US"/>
        </w:rPr>
      </w:pPr>
      <w:r w:rsidRPr="00962439">
        <w:rPr>
          <w:b/>
          <w:bCs/>
          <w:color w:val="000000"/>
          <w:lang w:val="ru-RU" w:eastAsia="en-US"/>
        </w:rPr>
        <w:t xml:space="preserve">                                                               </w:t>
      </w:r>
      <w:r w:rsidR="004038F3">
        <w:rPr>
          <w:b/>
          <w:bCs/>
          <w:color w:val="000000"/>
          <w:lang w:val="ru-RU" w:eastAsia="en-US"/>
        </w:rPr>
        <w:t xml:space="preserve">                             </w:t>
      </w:r>
      <w:r w:rsidR="0067260E">
        <w:rPr>
          <w:b/>
          <w:bCs/>
          <w:color w:val="000000"/>
          <w:lang w:val="ru-RU" w:eastAsia="en-US"/>
        </w:rPr>
        <w:t xml:space="preserve"> </w:t>
      </w:r>
      <w:r w:rsidR="004038F3">
        <w:rPr>
          <w:b/>
          <w:bCs/>
          <w:color w:val="000000"/>
          <w:lang w:val="ru-RU" w:eastAsia="en-US"/>
        </w:rPr>
        <w:t>О</w:t>
      </w:r>
      <w:r w:rsidR="0067260E">
        <w:rPr>
          <w:b/>
          <w:bCs/>
          <w:color w:val="000000"/>
          <w:lang w:val="ru-RU" w:eastAsia="en-US"/>
        </w:rPr>
        <w:t>.</w:t>
      </w:r>
      <w:r w:rsidR="00B20D57">
        <w:rPr>
          <w:b/>
          <w:bCs/>
          <w:color w:val="000000"/>
          <w:lang w:val="ru-RU" w:eastAsia="en-US"/>
        </w:rPr>
        <w:t>Козеренко</w:t>
      </w:r>
    </w:p>
    <w:p w:rsidR="00383559" w:rsidRPr="0088361B" w:rsidRDefault="00383559" w:rsidP="0088361B">
      <w:pPr>
        <w:autoSpaceDE w:val="0"/>
        <w:autoSpaceDN w:val="0"/>
        <w:adjustRightInd w:val="0"/>
        <w:rPr>
          <w:b/>
          <w:bCs/>
          <w:color w:val="000000"/>
          <w:lang w:val="ru-RU" w:eastAsia="en-US"/>
        </w:rPr>
      </w:pPr>
    </w:p>
    <w:sectPr w:rsidR="00383559" w:rsidRPr="0088361B" w:rsidSect="00C7069E">
      <w:headerReference w:type="even" r:id="rId12"/>
      <w:headerReference w:type="default" r:id="rId13"/>
      <w:footerReference w:type="even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97" w:rsidRDefault="00403697">
      <w:r>
        <w:separator/>
      </w:r>
    </w:p>
  </w:endnote>
  <w:endnote w:type="continuationSeparator" w:id="0">
    <w:p w:rsidR="00403697" w:rsidRDefault="004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59" w:rsidRDefault="00193170" w:rsidP="00EA7F9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355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3559" w:rsidRDefault="003835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97" w:rsidRDefault="00403697">
      <w:r>
        <w:separator/>
      </w:r>
    </w:p>
  </w:footnote>
  <w:footnote w:type="continuationSeparator" w:id="0">
    <w:p w:rsidR="00403697" w:rsidRDefault="0040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59" w:rsidRDefault="00193170" w:rsidP="00EA7F9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355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3559" w:rsidRDefault="003835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59" w:rsidRDefault="00193170" w:rsidP="00EA7F9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355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F44B6">
      <w:rPr>
        <w:rStyle w:val="ad"/>
        <w:noProof/>
      </w:rPr>
      <w:t>4</w:t>
    </w:r>
    <w:r>
      <w:rPr>
        <w:rStyle w:val="ad"/>
      </w:rPr>
      <w:fldChar w:fldCharType="end"/>
    </w:r>
  </w:p>
  <w:p w:rsidR="00383559" w:rsidRDefault="003835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1C"/>
    <w:multiLevelType w:val="hybridMultilevel"/>
    <w:tmpl w:val="42FC1740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3DB8"/>
    <w:multiLevelType w:val="hybridMultilevel"/>
    <w:tmpl w:val="7222FABE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63DE"/>
    <w:multiLevelType w:val="hybridMultilevel"/>
    <w:tmpl w:val="B8504C28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61DA2"/>
    <w:multiLevelType w:val="hybridMultilevel"/>
    <w:tmpl w:val="5D9ED6A2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04990"/>
    <w:multiLevelType w:val="hybridMultilevel"/>
    <w:tmpl w:val="884AFDAA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15288"/>
    <w:multiLevelType w:val="hybridMultilevel"/>
    <w:tmpl w:val="82766620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908AB"/>
    <w:multiLevelType w:val="hybridMultilevel"/>
    <w:tmpl w:val="3FE24704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1908"/>
    <w:multiLevelType w:val="hybridMultilevel"/>
    <w:tmpl w:val="FD8C731A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0320B"/>
    <w:multiLevelType w:val="hybridMultilevel"/>
    <w:tmpl w:val="3B3A7A6A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45773"/>
    <w:multiLevelType w:val="hybridMultilevel"/>
    <w:tmpl w:val="242AE1A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550FAE"/>
    <w:multiLevelType w:val="hybridMultilevel"/>
    <w:tmpl w:val="23D272E6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05210"/>
    <w:multiLevelType w:val="hybridMultilevel"/>
    <w:tmpl w:val="08D89A12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13AC9"/>
    <w:multiLevelType w:val="hybridMultilevel"/>
    <w:tmpl w:val="4A0C1E12"/>
    <w:lvl w:ilvl="0" w:tplc="39666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6A"/>
    <w:rsid w:val="00015580"/>
    <w:rsid w:val="000316EF"/>
    <w:rsid w:val="000841C3"/>
    <w:rsid w:val="000A0D14"/>
    <w:rsid w:val="000B1CC6"/>
    <w:rsid w:val="000C4F0C"/>
    <w:rsid w:val="000E458B"/>
    <w:rsid w:val="0010621B"/>
    <w:rsid w:val="00163C39"/>
    <w:rsid w:val="00180667"/>
    <w:rsid w:val="00191453"/>
    <w:rsid w:val="00193170"/>
    <w:rsid w:val="001A21E7"/>
    <w:rsid w:val="00270AAA"/>
    <w:rsid w:val="002B4E57"/>
    <w:rsid w:val="002D768E"/>
    <w:rsid w:val="002E184B"/>
    <w:rsid w:val="00311026"/>
    <w:rsid w:val="003265D0"/>
    <w:rsid w:val="0034114A"/>
    <w:rsid w:val="00363015"/>
    <w:rsid w:val="003713FA"/>
    <w:rsid w:val="00383559"/>
    <w:rsid w:val="003E537B"/>
    <w:rsid w:val="00403697"/>
    <w:rsid w:val="004038F3"/>
    <w:rsid w:val="00410F85"/>
    <w:rsid w:val="00411D90"/>
    <w:rsid w:val="00432972"/>
    <w:rsid w:val="00461A8F"/>
    <w:rsid w:val="00466009"/>
    <w:rsid w:val="00467F5A"/>
    <w:rsid w:val="004F7369"/>
    <w:rsid w:val="00500373"/>
    <w:rsid w:val="00521695"/>
    <w:rsid w:val="00521BEE"/>
    <w:rsid w:val="005406CA"/>
    <w:rsid w:val="00556B97"/>
    <w:rsid w:val="00567ED2"/>
    <w:rsid w:val="00582902"/>
    <w:rsid w:val="005C0CD6"/>
    <w:rsid w:val="005D29EE"/>
    <w:rsid w:val="00605771"/>
    <w:rsid w:val="00612BA2"/>
    <w:rsid w:val="00671ED1"/>
    <w:rsid w:val="0067260E"/>
    <w:rsid w:val="006832F0"/>
    <w:rsid w:val="006B766A"/>
    <w:rsid w:val="006C233E"/>
    <w:rsid w:val="006C4610"/>
    <w:rsid w:val="006F44B6"/>
    <w:rsid w:val="00716EF5"/>
    <w:rsid w:val="00724CBD"/>
    <w:rsid w:val="00745C54"/>
    <w:rsid w:val="007B19D8"/>
    <w:rsid w:val="007D3EDF"/>
    <w:rsid w:val="007D4D07"/>
    <w:rsid w:val="0088361B"/>
    <w:rsid w:val="008A71DE"/>
    <w:rsid w:val="009375BB"/>
    <w:rsid w:val="009404E5"/>
    <w:rsid w:val="00962439"/>
    <w:rsid w:val="00981E68"/>
    <w:rsid w:val="009C2C57"/>
    <w:rsid w:val="00A01BB3"/>
    <w:rsid w:val="00A11C02"/>
    <w:rsid w:val="00A72078"/>
    <w:rsid w:val="00AC6F18"/>
    <w:rsid w:val="00AF5F78"/>
    <w:rsid w:val="00B20D57"/>
    <w:rsid w:val="00B20DA4"/>
    <w:rsid w:val="00B2610E"/>
    <w:rsid w:val="00B5700C"/>
    <w:rsid w:val="00B73C38"/>
    <w:rsid w:val="00BB0DBD"/>
    <w:rsid w:val="00BD342D"/>
    <w:rsid w:val="00C042A3"/>
    <w:rsid w:val="00C079C6"/>
    <w:rsid w:val="00C128A2"/>
    <w:rsid w:val="00C54509"/>
    <w:rsid w:val="00C7069E"/>
    <w:rsid w:val="00C756F5"/>
    <w:rsid w:val="00C92D54"/>
    <w:rsid w:val="00CA0B0F"/>
    <w:rsid w:val="00CA55B5"/>
    <w:rsid w:val="00D0051A"/>
    <w:rsid w:val="00D3666E"/>
    <w:rsid w:val="00D47A34"/>
    <w:rsid w:val="00D742B7"/>
    <w:rsid w:val="00D822C8"/>
    <w:rsid w:val="00DA7551"/>
    <w:rsid w:val="00E40998"/>
    <w:rsid w:val="00E556F1"/>
    <w:rsid w:val="00E8290A"/>
    <w:rsid w:val="00EA1BC4"/>
    <w:rsid w:val="00EA2F2B"/>
    <w:rsid w:val="00EA7F96"/>
    <w:rsid w:val="00EF12EA"/>
    <w:rsid w:val="00F83045"/>
    <w:rsid w:val="00F837CF"/>
    <w:rsid w:val="00F915B6"/>
    <w:rsid w:val="00FB7AB5"/>
    <w:rsid w:val="00FD5D4C"/>
    <w:rsid w:val="00FE4349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26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rsid w:val="007B19D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6">
    <w:name w:val="heading 6"/>
    <w:basedOn w:val="a"/>
    <w:link w:val="60"/>
    <w:uiPriority w:val="99"/>
    <w:qFormat/>
    <w:rsid w:val="007B19D8"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B19D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B19D8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Body Text Indent"/>
    <w:basedOn w:val="a"/>
    <w:link w:val="a4"/>
    <w:uiPriority w:val="99"/>
    <w:rsid w:val="00311026"/>
    <w:pPr>
      <w:ind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11026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7B19D8"/>
    <w:pPr>
      <w:ind w:left="720"/>
      <w:contextualSpacing/>
    </w:pPr>
  </w:style>
  <w:style w:type="character" w:styleId="a6">
    <w:name w:val="Hyperlink"/>
    <w:basedOn w:val="a0"/>
    <w:uiPriority w:val="99"/>
    <w:rsid w:val="007B19D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B19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19D8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rsid w:val="0052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21BEE"/>
    <w:rPr>
      <w:rFonts w:ascii="Tahoma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16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63C39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716EF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7AB5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16E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26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rsid w:val="007B19D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6">
    <w:name w:val="heading 6"/>
    <w:basedOn w:val="a"/>
    <w:link w:val="60"/>
    <w:uiPriority w:val="99"/>
    <w:qFormat/>
    <w:rsid w:val="007B19D8"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B19D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B19D8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Body Text Indent"/>
    <w:basedOn w:val="a"/>
    <w:link w:val="a4"/>
    <w:uiPriority w:val="99"/>
    <w:rsid w:val="00311026"/>
    <w:pPr>
      <w:ind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11026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7B19D8"/>
    <w:pPr>
      <w:ind w:left="720"/>
      <w:contextualSpacing/>
    </w:pPr>
  </w:style>
  <w:style w:type="character" w:styleId="a6">
    <w:name w:val="Hyperlink"/>
    <w:basedOn w:val="a0"/>
    <w:uiPriority w:val="99"/>
    <w:rsid w:val="007B19D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B19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19D8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rsid w:val="0052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21BEE"/>
    <w:rPr>
      <w:rFonts w:ascii="Tahoma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16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63C39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716EF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7AB5"/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16E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l@amcu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E590-6C1D-4814-AC5F-B6BBAFE4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АМКУ</dc:creator>
  <cp:lastModifiedBy>Asrock</cp:lastModifiedBy>
  <cp:revision>2</cp:revision>
  <cp:lastPrinted>2017-04-27T12:35:00Z</cp:lastPrinted>
  <dcterms:created xsi:type="dcterms:W3CDTF">2017-08-10T10:33:00Z</dcterms:created>
  <dcterms:modified xsi:type="dcterms:W3CDTF">2017-08-10T10:33:00Z</dcterms:modified>
</cp:coreProperties>
</file>